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bidi w:val="0"/>
      </w:pPr>
      <w:r>
        <w:rPr>
          <w:rtl w:val="0"/>
        </w:rPr>
        <w:t>Corporate AI</w:t>
      </w:r>
      <w:r>
        <w:rPr>
          <w:rtl w:val="0"/>
        </w:rPr>
        <w:t xml:space="preserve"> Policy Template</w:t>
      </w:r>
    </w:p>
    <w:p>
      <w:pPr>
        <w:pStyle w:val="Default"/>
        <w:suppressAutoHyphens w:val="1"/>
        <w:spacing w:before="0" w:line="240" w:lineRule="auto"/>
        <w:jc w:val="left"/>
        <w:rPr>
          <w:rFonts w:ascii="Times Roman" w:cs="Times Roman" w:hAnsi="Times Roman" w:eastAsia="Times Roman"/>
          <w:b w:val="1"/>
          <w:bCs w:val="1"/>
          <w:sz w:val="43"/>
          <w:szCs w:val="43"/>
        </w:rPr>
      </w:pPr>
    </w:p>
    <w:p>
      <w:pPr>
        <w:pStyle w:val="Heading"/>
        <w:bidi w:val="0"/>
      </w:pPr>
      <w:r>
        <w:rPr>
          <w:rtl w:val="0"/>
        </w:rPr>
        <w:t>Introduction</w:t>
      </w:r>
    </w:p>
    <w:p>
      <w:pPr>
        <w:pStyle w:val="Body Bold"/>
        <w:bidi w:val="0"/>
      </w:pPr>
      <w:r>
        <w:rPr>
          <w:rtl w:val="0"/>
        </w:rPr>
        <w:t>Artificial Intelligence Policy</w:t>
      </w:r>
      <w:r>
        <w:rPr>
          <w:rtl w:val="0"/>
        </w:rPr>
        <w:t xml:space="preserve"> Template</w:t>
      </w:r>
    </w:p>
    <w:p>
      <w:pPr>
        <w:pStyle w:val="Body"/>
        <w:bidi w:val="0"/>
      </w:pPr>
      <w:r>
        <w:rPr>
          <w:rtl w:val="0"/>
        </w:rPr>
        <w:t>This policy template provides a framework for establishing safe and compliant artificial intelligence (AI) use within your organisation. It addresses governance, risk management, user guidelines and compliance considerations. Adapt it to suit your organisation</w:t>
      </w:r>
      <w:r>
        <w:rPr>
          <w:rtl w:val="1"/>
        </w:rPr>
        <w:t>’</w:t>
      </w:r>
      <w:r>
        <w:rPr>
          <w:rtl w:val="0"/>
        </w:rPr>
        <w:t>s specific needs, risk profile and industry requirements.</w:t>
      </w:r>
    </w:p>
    <w:p>
      <w:pPr>
        <w:pStyle w:val="Body"/>
        <w:bidi w:val="0"/>
      </w:pPr>
    </w:p>
    <w:p>
      <w:pPr>
        <w:pStyle w:val="Body"/>
        <w:bidi w:val="0"/>
        <w:rPr>
          <w:rStyle w:val="None"/>
          <w:shd w:val="clear" w:color="auto" w:fill="ffffff"/>
        </w:rPr>
      </w:pPr>
      <w:r>
        <w:rPr>
          <w:shd w:val="clear" w:color="auto" w:fill="ffffff"/>
          <w:rtl w:val="0"/>
          <w:lang w:val="en-US"/>
        </w:rPr>
        <w:t xml:space="preserve">This template was provided by Lanboss AI as a starting framework for </w:t>
      </w:r>
      <w:r>
        <w:rPr>
          <w:shd w:val="clear" w:color="auto" w:fill="ffffff"/>
          <w:rtl w:val="0"/>
          <w:lang w:val="en-US"/>
        </w:rPr>
        <w:t xml:space="preserve">corporate </w:t>
      </w:r>
      <w:r>
        <w:rPr>
          <w:shd w:val="clear" w:color="auto" w:fill="ffffff"/>
          <w:rtl w:val="0"/>
          <w:lang w:val="fr-FR"/>
        </w:rPr>
        <w:t xml:space="preserve"> institutions. </w:t>
      </w:r>
      <w:r>
        <w:rPr>
          <w:shd w:val="clear" w:color="auto" w:fill="ffffff"/>
          <w:rtl w:val="0"/>
          <w:lang w:val="en-US"/>
        </w:rPr>
        <w:t xml:space="preserve"> </w:t>
      </w:r>
      <w:r>
        <w:rPr>
          <w:rtl w:val="0"/>
        </w:rPr>
        <w:t>For comprehensive policy development support, including implementation guides, stakeholder communication templates and staff training materials, contact Lanboss AI</w:t>
      </w:r>
      <w:r>
        <w:rPr>
          <w:shd w:val="clear" w:color="auto" w:fill="ffffff"/>
          <w:rtl w:val="0"/>
          <w:lang w:val="en-US"/>
        </w:rPr>
        <w:t xml:space="preserve"> </w:t>
      </w:r>
      <w:r>
        <w:rPr>
          <w:rtl w:val="0"/>
        </w:rPr>
        <w:t xml:space="preserve">at </w:t>
      </w:r>
      <w:r>
        <w:rPr>
          <w:rStyle w:val="Hyperlink.0"/>
        </w:rPr>
        <w:fldChar w:fldCharType="begin" w:fldLock="0"/>
      </w:r>
      <w:r>
        <w:rPr>
          <w:rStyle w:val="Hyperlink.0"/>
        </w:rPr>
        <w:instrText xml:space="preserve"> HYPERLINK "mailto:info@lanboss.ai"</w:instrText>
      </w:r>
      <w:r>
        <w:rPr>
          <w:rStyle w:val="Hyperlink.0"/>
        </w:rPr>
        <w:fldChar w:fldCharType="separate" w:fldLock="0"/>
      </w:r>
      <w:r>
        <w:rPr>
          <w:rStyle w:val="Hyperlink.0"/>
          <w:rtl w:val="0"/>
        </w:rPr>
        <w:t>info@lanboss.ai</w:t>
      </w:r>
      <w:r>
        <w:rPr/>
        <w:fldChar w:fldCharType="end" w:fldLock="0"/>
      </w:r>
      <w:r>
        <w:rPr>
          <w:rtl w:val="0"/>
        </w:rPr>
        <w:t xml:space="preserve"> or visit </w:t>
      </w:r>
      <w:r>
        <w:rPr>
          <w:rStyle w:val="Hyperlink.0"/>
        </w:rPr>
        <w:fldChar w:fldCharType="begin" w:fldLock="0"/>
      </w:r>
      <w:r>
        <w:rPr>
          <w:rStyle w:val="Hyperlink.0"/>
        </w:rPr>
        <w:instrText xml:space="preserve"> HYPERLINK "http://www.lanboss.ai"</w:instrText>
      </w:r>
      <w:r>
        <w:rPr>
          <w:rStyle w:val="Hyperlink.0"/>
        </w:rPr>
        <w:fldChar w:fldCharType="separate" w:fldLock="0"/>
      </w:r>
      <w:r>
        <w:rPr>
          <w:rStyle w:val="Hyperlink.0"/>
          <w:rtl w:val="0"/>
        </w:rPr>
        <w:t>www.lanboss.ai</w:t>
      </w:r>
      <w:r>
        <w:rPr/>
        <w:fldChar w:fldCharType="end" w:fldLock="0"/>
      </w:r>
      <w:r>
        <w:rPr>
          <w:rStyle w:val="None"/>
          <w:shd w:val="clear" w:color="auto" w:fill="ffffff"/>
          <w:rtl w:val="0"/>
        </w:rPr>
        <w:t>.</w:t>
      </w:r>
    </w:p>
    <w:p>
      <w:pPr>
        <w:pStyle w:val="Body"/>
        <w:bidi w:val="0"/>
        <w:rPr>
          <w:rStyle w:val="None"/>
          <w:shd w:val="clear" w:color="auto" w:fill="ffffff"/>
        </w:rPr>
      </w:pPr>
    </w:p>
    <w:p>
      <w:pPr>
        <w:pStyle w:val="Heading"/>
        <w:bidi w:val="0"/>
        <w:rPr>
          <w:rStyle w:val="None"/>
          <w:shd w:val="clear" w:color="auto" w:fill="ffffff"/>
        </w:rPr>
      </w:pPr>
      <w:r>
        <w:rPr>
          <w:rStyle w:val="None"/>
          <w:shd w:val="clear" w:color="auto" w:fill="ffffff"/>
          <w:rtl w:val="0"/>
          <w:lang w:val="fr-FR"/>
        </w:rPr>
        <w:t>Implementation Guidance</w:t>
      </w:r>
    </w:p>
    <w:p>
      <w:pPr>
        <w:pStyle w:val="Body"/>
        <w:bidi w:val="0"/>
        <w:rPr>
          <w:rStyle w:val="None"/>
          <w:shd w:val="clear" w:color="auto" w:fill="ffffff"/>
        </w:rPr>
      </w:pPr>
      <w:r>
        <w:rPr>
          <w:rStyle w:val="None"/>
          <w:shd w:val="clear" w:color="auto" w:fill="ffffff"/>
          <w:rtl w:val="0"/>
          <w:lang w:val="en-US"/>
        </w:rPr>
        <w:t>To effectively implement this policy, consider the following steps:</w:t>
      </w:r>
    </w:p>
    <w:p>
      <w:pPr>
        <w:pStyle w:val="Body"/>
        <w:numPr>
          <w:ilvl w:val="0"/>
          <w:numId w:val="2"/>
        </w:numPr>
        <w:bidi w:val="0"/>
      </w:pPr>
      <w:r>
        <w:rPr>
          <w:rStyle w:val="None"/>
          <w:rFonts w:ascii="Lexend Regular Medium" w:hAnsi="Lexend Regular Medium"/>
          <w:shd w:val="clear" w:color="auto" w:fill="ffffff"/>
          <w:rtl w:val="0"/>
          <w:lang w:val="en-US"/>
        </w:rPr>
        <w:t>Form an AI Working Group</w:t>
      </w:r>
      <w:r>
        <w:rPr>
          <w:rStyle w:val="None"/>
          <w:shd w:val="clear" w:color="auto" w:fill="ffffff"/>
          <w:rtl w:val="0"/>
          <w:lang w:val="en-US"/>
        </w:rPr>
        <w:t xml:space="preserve"> with representatives from </w:t>
      </w:r>
      <w:r>
        <w:rPr>
          <w:rStyle w:val="None"/>
          <w:shd w:val="clear" w:color="auto" w:fill="ffffff"/>
          <w:rtl w:val="0"/>
          <w:lang w:val="en-US"/>
        </w:rPr>
        <w:t>users, Security</w:t>
      </w:r>
      <w:r>
        <w:rPr>
          <w:rStyle w:val="None"/>
          <w:shd w:val="clear" w:color="auto" w:fill="ffffff"/>
          <w:rtl w:val="0"/>
        </w:rPr>
        <w:t>, IT</w:t>
      </w:r>
      <w:r>
        <w:rPr>
          <w:rStyle w:val="None"/>
          <w:shd w:val="clear" w:color="auto" w:fill="ffffff"/>
          <w:rtl w:val="0"/>
          <w:lang w:val="en-US"/>
        </w:rPr>
        <w:t xml:space="preserve"> and</w:t>
      </w:r>
      <w:r>
        <w:rPr>
          <w:rStyle w:val="None"/>
          <w:shd w:val="clear" w:color="auto" w:fill="ffffff"/>
          <w:rtl w:val="0"/>
          <w:lang w:val="en-US"/>
        </w:rPr>
        <w:t xml:space="preserve"> leadership </w:t>
      </w:r>
    </w:p>
    <w:p>
      <w:pPr>
        <w:pStyle w:val="Body"/>
        <w:numPr>
          <w:ilvl w:val="0"/>
          <w:numId w:val="2"/>
        </w:numPr>
        <w:bidi w:val="0"/>
      </w:pPr>
      <w:r>
        <w:rPr>
          <w:rStyle w:val="None"/>
          <w:rFonts w:ascii="Lexend Regular Medium" w:hAnsi="Lexend Regular Medium"/>
          <w:shd w:val="clear" w:color="auto" w:fill="ffffff"/>
          <w:rtl w:val="0"/>
          <w:lang w:val="en-US"/>
        </w:rPr>
        <w:t>Customise this template</w:t>
      </w:r>
      <w:r>
        <w:rPr>
          <w:rStyle w:val="None"/>
          <w:shd w:val="clear" w:color="auto" w:fill="ffffff"/>
          <w:rtl w:val="0"/>
          <w:lang w:val="en-US"/>
        </w:rPr>
        <w:t xml:space="preserve"> to reflect your </w:t>
      </w:r>
      <w:r>
        <w:rPr>
          <w:rStyle w:val="None"/>
          <w:shd w:val="clear" w:color="auto" w:fill="ffffff"/>
          <w:rtl w:val="0"/>
          <w:lang w:val="en-US"/>
        </w:rPr>
        <w:t>organisation</w:t>
      </w:r>
      <w:r>
        <w:rPr>
          <w:rStyle w:val="None"/>
          <w:shd w:val="clear" w:color="auto" w:fill="ffffff"/>
          <w:rtl w:val="0"/>
          <w:lang w:val="en-US"/>
        </w:rPr>
        <w:t>’</w:t>
      </w:r>
      <w:r>
        <w:rPr>
          <w:rStyle w:val="None"/>
          <w:shd w:val="clear" w:color="auto" w:fill="ffffff"/>
          <w:rtl w:val="0"/>
          <w:lang w:val="en-US"/>
        </w:rPr>
        <w:t>s</w:t>
      </w:r>
      <w:r>
        <w:rPr>
          <w:rStyle w:val="None"/>
          <w:shd w:val="clear" w:color="auto" w:fill="ffffff"/>
          <w:rtl w:val="0"/>
          <w:lang w:val="en-US"/>
        </w:rPr>
        <w:t xml:space="preserve"> specific needs and values</w:t>
      </w:r>
    </w:p>
    <w:p>
      <w:pPr>
        <w:pStyle w:val="Body"/>
        <w:numPr>
          <w:ilvl w:val="0"/>
          <w:numId w:val="2"/>
        </w:numPr>
        <w:bidi w:val="0"/>
      </w:pPr>
      <w:r>
        <w:rPr>
          <w:rStyle w:val="None"/>
          <w:rFonts w:ascii="Lexend Regular Medium" w:hAnsi="Lexend Regular Medium"/>
          <w:shd w:val="clear" w:color="auto" w:fill="ffffff"/>
          <w:rtl w:val="0"/>
          <w:lang w:val="en-US"/>
        </w:rPr>
        <w:t>Conduct stakeholder consultations</w:t>
      </w:r>
      <w:r>
        <w:rPr>
          <w:rStyle w:val="None"/>
          <w:shd w:val="clear" w:color="auto" w:fill="ffffff"/>
          <w:rtl w:val="0"/>
          <w:lang w:val="en-US"/>
        </w:rPr>
        <w:t xml:space="preserve"> to gather feedback before finalisation</w:t>
      </w:r>
    </w:p>
    <w:p>
      <w:pPr>
        <w:pStyle w:val="Body"/>
        <w:numPr>
          <w:ilvl w:val="0"/>
          <w:numId w:val="2"/>
        </w:numPr>
        <w:bidi w:val="0"/>
      </w:pPr>
      <w:r>
        <w:rPr>
          <w:rStyle w:val="None"/>
          <w:rFonts w:ascii="Lexend Regular Medium" w:hAnsi="Lexend Regular Medium"/>
          <w:shd w:val="clear" w:color="auto" w:fill="ffffff"/>
          <w:rtl w:val="0"/>
          <w:lang w:val="en-US"/>
        </w:rPr>
        <w:t xml:space="preserve">Develop a communications plan </w:t>
      </w:r>
      <w:r>
        <w:rPr>
          <w:rStyle w:val="None"/>
          <w:shd w:val="clear" w:color="auto" w:fill="ffffff"/>
          <w:rtl w:val="0"/>
          <w:lang w:val="en-US"/>
        </w:rPr>
        <w:t xml:space="preserve">to ensure all </w:t>
      </w:r>
      <w:r>
        <w:rPr>
          <w:rStyle w:val="None"/>
          <w:shd w:val="clear" w:color="auto" w:fill="ffffff"/>
          <w:rtl w:val="0"/>
          <w:lang w:val="en-US"/>
        </w:rPr>
        <w:t>users</w:t>
      </w:r>
      <w:r>
        <w:rPr>
          <w:rStyle w:val="None"/>
          <w:shd w:val="clear" w:color="auto" w:fill="ffffff"/>
          <w:rtl w:val="0"/>
          <w:lang w:val="en-US"/>
        </w:rPr>
        <w:t xml:space="preserve"> understand the policy</w:t>
      </w:r>
    </w:p>
    <w:p>
      <w:pPr>
        <w:pStyle w:val="Body"/>
        <w:numPr>
          <w:ilvl w:val="0"/>
          <w:numId w:val="2"/>
        </w:numPr>
        <w:bidi w:val="0"/>
      </w:pPr>
      <w:r>
        <w:rPr>
          <w:rStyle w:val="None"/>
          <w:rFonts w:ascii="Lexend Regular Medium" w:hAnsi="Lexend Regular Medium"/>
          <w:shd w:val="clear" w:color="auto" w:fill="ffffff"/>
          <w:rtl w:val="0"/>
          <w:lang w:val="en-US"/>
        </w:rPr>
        <w:t xml:space="preserve">Create supporting materials </w:t>
      </w:r>
      <w:r>
        <w:rPr>
          <w:rStyle w:val="None"/>
          <w:shd w:val="clear" w:color="auto" w:fill="ffffff"/>
          <w:rtl w:val="0"/>
          <w:lang w:val="en-US"/>
        </w:rPr>
        <w:t xml:space="preserve">such as </w:t>
      </w:r>
      <w:r>
        <w:rPr>
          <w:rStyle w:val="None"/>
          <w:shd w:val="clear" w:color="auto" w:fill="ffffff"/>
          <w:rtl w:val="0"/>
          <w:lang w:val="en-US"/>
        </w:rPr>
        <w:t>user</w:t>
      </w:r>
      <w:r>
        <w:rPr>
          <w:rStyle w:val="None"/>
          <w:shd w:val="clear" w:color="auto" w:fill="ffffff"/>
          <w:rtl w:val="0"/>
          <w:lang w:val="en-US"/>
        </w:rPr>
        <w:t xml:space="preserve"> guides and </w:t>
      </w:r>
      <w:r>
        <w:rPr>
          <w:rStyle w:val="None"/>
          <w:shd w:val="clear" w:color="auto" w:fill="ffffff"/>
          <w:rtl w:val="0"/>
          <w:lang w:val="en-US"/>
        </w:rPr>
        <w:t xml:space="preserve">kitchen </w:t>
      </w:r>
      <w:r>
        <w:rPr>
          <w:rStyle w:val="None"/>
          <w:shd w:val="clear" w:color="auto" w:fill="ffffff"/>
          <w:rtl w:val="0"/>
          <w:lang w:val="it-IT"/>
        </w:rPr>
        <w:t>posters</w:t>
      </w:r>
    </w:p>
    <w:p>
      <w:pPr>
        <w:pStyle w:val="Body"/>
        <w:numPr>
          <w:ilvl w:val="0"/>
          <w:numId w:val="2"/>
        </w:numPr>
        <w:bidi w:val="0"/>
      </w:pPr>
      <w:r>
        <w:rPr>
          <w:rStyle w:val="None"/>
          <w:rFonts w:ascii="Lexend Regular Medium" w:hAnsi="Lexend Regular Medium"/>
          <w:shd w:val="clear" w:color="auto" w:fill="ffffff"/>
          <w:rtl w:val="0"/>
          <w:lang w:val="en-US"/>
        </w:rPr>
        <w:t>Establish regular review cycles</w:t>
      </w:r>
      <w:r>
        <w:rPr>
          <w:rStyle w:val="None"/>
          <w:shd w:val="clear" w:color="auto" w:fill="ffffff"/>
          <w:rtl w:val="0"/>
          <w:lang w:val="en-US"/>
        </w:rPr>
        <w:t xml:space="preserve"> to keep the policy current with technological changes</w:t>
      </w:r>
      <w:r>
        <w:rPr>
          <w:rStyle w:val="None"/>
          <w:shd w:val="clear" w:color="auto" w:fill="ffffff"/>
          <w:rtl w:val="0"/>
          <w:lang w:val="en-US"/>
        </w:rPr>
        <w:t>, because these are happening rapidly</w:t>
      </w:r>
    </w:p>
    <w:p>
      <w:pPr>
        <w:pStyle w:val="Heading"/>
        <w:bidi w:val="0"/>
      </w:pPr>
      <w:r>
        <w:rPr>
          <w:rStyle w:val="None"/>
          <w:rFonts w:ascii="Arial Unicode MS" w:cs="Arial Unicode MS" w:hAnsi="Arial Unicode MS" w:eastAsia="Arial Unicode MS"/>
          <w:b w:val="0"/>
          <w:bCs w:val="0"/>
          <w:i w:val="0"/>
          <w:iCs w:val="0"/>
          <w:shd w:val="clear" w:color="auto" w:fill="ffffff"/>
        </w:rPr>
        <w:br w:type="page"/>
      </w:r>
    </w:p>
    <w:p>
      <w:pPr>
        <w:pStyle w:val="Heading"/>
        <w:bidi w:val="0"/>
      </w:pPr>
      <w:r>
        <w:rPr>
          <w:rtl w:val="0"/>
        </w:rPr>
        <w:t>1. Introduction</w:t>
      </w:r>
    </w:p>
    <w:p>
      <w:pPr>
        <w:pStyle w:val="Heading 2"/>
        <w:bidi w:val="0"/>
      </w:pPr>
      <w:r>
        <w:rPr>
          <w:rtl w:val="0"/>
        </w:rPr>
        <w:t>1.1 Purpose</w:t>
      </w:r>
    </w:p>
    <w:p>
      <w:pPr>
        <w:pStyle w:val="Body"/>
        <w:bidi w:val="0"/>
      </w:pPr>
      <w:r>
        <w:rPr>
          <w:rtl w:val="0"/>
        </w:rPr>
        <w:t>This policy establishes guidelines for the responsible acquisition, development, deployment and use of AI systems within [ORGANISATION NAME].</w:t>
      </w:r>
    </w:p>
    <w:p>
      <w:pPr>
        <w:pStyle w:val="Heading 2"/>
        <w:bidi w:val="0"/>
      </w:pPr>
      <w:r>
        <w:rPr>
          <w:rtl w:val="0"/>
          <w:lang w:val="it-IT"/>
        </w:rPr>
        <w:t>1.2 Scope</w:t>
      </w:r>
    </w:p>
    <w:p>
      <w:pPr>
        <w:pStyle w:val="Body"/>
        <w:bidi w:val="0"/>
      </w:pPr>
      <w:r>
        <w:rPr>
          <w:rtl w:val="0"/>
        </w:rPr>
        <w:t>This policy applies to:</w:t>
      </w:r>
    </w:p>
    <w:p>
      <w:pPr>
        <w:pStyle w:val="Body"/>
        <w:numPr>
          <w:ilvl w:val="0"/>
          <w:numId w:val="4"/>
        </w:numPr>
        <w:bidi w:val="0"/>
      </w:pPr>
      <w:r>
        <w:rPr>
          <w:rtl w:val="0"/>
        </w:rPr>
        <w:t>All employees, contractors and third parties using AI tools on behalf of the organisation</w:t>
      </w:r>
    </w:p>
    <w:p>
      <w:pPr>
        <w:pStyle w:val="Body"/>
        <w:numPr>
          <w:ilvl w:val="0"/>
          <w:numId w:val="4"/>
        </w:numPr>
        <w:bidi w:val="0"/>
      </w:pPr>
      <w:r>
        <w:rPr>
          <w:rtl w:val="0"/>
        </w:rPr>
        <w:t>All AI systems whether developed internally, purchased from vendors or accessed as services</w:t>
      </w:r>
    </w:p>
    <w:p>
      <w:pPr>
        <w:pStyle w:val="Body"/>
        <w:numPr>
          <w:ilvl w:val="0"/>
          <w:numId w:val="4"/>
        </w:numPr>
        <w:bidi w:val="0"/>
      </w:pPr>
      <w:r>
        <w:rPr>
          <w:rtl w:val="0"/>
        </w:rPr>
        <w:t>Both public AI platforms (e.g., ChatGPT, Claude) and private AI implementations</w:t>
      </w:r>
    </w:p>
    <w:p>
      <w:pPr>
        <w:pStyle w:val="Body"/>
        <w:numPr>
          <w:ilvl w:val="0"/>
          <w:numId w:val="4"/>
        </w:numPr>
        <w:bidi w:val="0"/>
      </w:pPr>
      <w:r>
        <w:rPr>
          <w:rtl w:val="0"/>
        </w:rPr>
        <w:t>Data used to train, test or operate AI systems</w:t>
      </w:r>
    </w:p>
    <w:p>
      <w:pPr>
        <w:pStyle w:val="Heading"/>
        <w:bidi w:val="0"/>
      </w:pPr>
      <w:r>
        <w:rPr>
          <w:rtl w:val="0"/>
          <w:lang w:val="en-US"/>
        </w:rPr>
        <w:t>2. Roles and Responsibilities</w:t>
      </w:r>
    </w:p>
    <w:p>
      <w:pPr>
        <w:pStyle w:val="Heading 2"/>
        <w:bidi w:val="0"/>
      </w:pPr>
      <w:r>
        <w:rPr>
          <w:rtl w:val="0"/>
        </w:rPr>
        <w:t>2.1 AI Governance Committee</w:t>
      </w:r>
    </w:p>
    <w:p>
      <w:pPr>
        <w:pStyle w:val="Body"/>
        <w:numPr>
          <w:ilvl w:val="0"/>
          <w:numId w:val="4"/>
        </w:numPr>
        <w:bidi w:val="0"/>
      </w:pPr>
      <w:r>
        <w:rPr>
          <w:rtl w:val="0"/>
        </w:rPr>
        <w:t>Oversees AI policy implementation and compliance</w:t>
      </w:r>
    </w:p>
    <w:p>
      <w:pPr>
        <w:pStyle w:val="Body"/>
        <w:numPr>
          <w:ilvl w:val="0"/>
          <w:numId w:val="4"/>
        </w:numPr>
        <w:bidi w:val="0"/>
      </w:pPr>
      <w:r>
        <w:rPr>
          <w:rtl w:val="0"/>
        </w:rPr>
        <w:t>Reviews and approves AI use cases</w:t>
      </w:r>
    </w:p>
    <w:p>
      <w:pPr>
        <w:pStyle w:val="Body"/>
        <w:numPr>
          <w:ilvl w:val="0"/>
          <w:numId w:val="4"/>
        </w:numPr>
        <w:bidi w:val="0"/>
      </w:pPr>
      <w:r>
        <w:rPr>
          <w:rtl w:val="0"/>
        </w:rPr>
        <w:t>Maintains AI inventory and risk register</w:t>
      </w:r>
    </w:p>
    <w:p>
      <w:pPr>
        <w:pStyle w:val="Body"/>
        <w:numPr>
          <w:ilvl w:val="0"/>
          <w:numId w:val="4"/>
        </w:numPr>
        <w:bidi w:val="0"/>
      </w:pPr>
      <w:r>
        <w:rPr>
          <w:rtl w:val="0"/>
        </w:rPr>
        <w:t>Reports to senior leadership on AI activities</w:t>
      </w:r>
    </w:p>
    <w:p>
      <w:pPr>
        <w:pStyle w:val="Body"/>
        <w:numPr>
          <w:ilvl w:val="0"/>
          <w:numId w:val="4"/>
        </w:numPr>
        <w:bidi w:val="0"/>
      </w:pPr>
      <w:r>
        <w:rPr>
          <w:rtl w:val="0"/>
        </w:rPr>
        <w:t>Members include: [LIST RELEVANT POSITIONS]</w:t>
      </w:r>
    </w:p>
    <w:p>
      <w:pPr>
        <w:pStyle w:val="Heading 2"/>
        <w:bidi w:val="0"/>
      </w:pPr>
      <w:r>
        <w:rPr>
          <w:rtl w:val="0"/>
        </w:rPr>
        <w:t>2.2 Managers</w:t>
      </w:r>
    </w:p>
    <w:p>
      <w:pPr>
        <w:pStyle w:val="Body"/>
        <w:numPr>
          <w:ilvl w:val="0"/>
          <w:numId w:val="4"/>
        </w:numPr>
        <w:bidi w:val="0"/>
      </w:pPr>
      <w:r>
        <w:rPr>
          <w:rtl w:val="0"/>
        </w:rPr>
        <w:t>Ensure team members understand and follow this policy</w:t>
      </w:r>
    </w:p>
    <w:p>
      <w:pPr>
        <w:pStyle w:val="Body"/>
        <w:numPr>
          <w:ilvl w:val="0"/>
          <w:numId w:val="4"/>
        </w:numPr>
        <w:bidi w:val="0"/>
      </w:pPr>
      <w:r>
        <w:rPr>
          <w:rtl w:val="0"/>
        </w:rPr>
        <w:t>Review AI use within their department</w:t>
      </w:r>
    </w:p>
    <w:p>
      <w:pPr>
        <w:pStyle w:val="Body"/>
        <w:numPr>
          <w:ilvl w:val="0"/>
          <w:numId w:val="4"/>
        </w:numPr>
        <w:bidi w:val="0"/>
      </w:pPr>
      <w:r>
        <w:rPr>
          <w:rtl w:val="0"/>
        </w:rPr>
        <w:t>Request approvals for new AI implementations</w:t>
      </w:r>
    </w:p>
    <w:p>
      <w:pPr>
        <w:pStyle w:val="Body"/>
        <w:numPr>
          <w:ilvl w:val="0"/>
          <w:numId w:val="4"/>
        </w:numPr>
        <w:bidi w:val="0"/>
      </w:pPr>
      <w:r>
        <w:rPr>
          <w:rtl w:val="0"/>
        </w:rPr>
        <w:t>Report incidents and non-compliance</w:t>
      </w:r>
    </w:p>
    <w:p>
      <w:pPr>
        <w:pStyle w:val="Heading 2"/>
        <w:bidi w:val="0"/>
      </w:pPr>
      <w:r>
        <w:rPr>
          <w:rtl w:val="0"/>
        </w:rPr>
        <w:t>2.3 All Staff</w:t>
      </w:r>
    </w:p>
    <w:p>
      <w:pPr>
        <w:pStyle w:val="Body"/>
        <w:numPr>
          <w:ilvl w:val="0"/>
          <w:numId w:val="4"/>
        </w:numPr>
        <w:bidi w:val="0"/>
      </w:pPr>
      <w:r>
        <w:rPr>
          <w:rtl w:val="0"/>
        </w:rPr>
        <w:t>Complete required AI literacy training</w:t>
      </w:r>
    </w:p>
    <w:p>
      <w:pPr>
        <w:pStyle w:val="Body"/>
        <w:numPr>
          <w:ilvl w:val="0"/>
          <w:numId w:val="4"/>
        </w:numPr>
        <w:bidi w:val="0"/>
      </w:pPr>
      <w:r>
        <w:rPr>
          <w:rtl w:val="0"/>
        </w:rPr>
        <w:t>Follow approval processes before using new AI tools</w:t>
      </w:r>
    </w:p>
    <w:p>
      <w:pPr>
        <w:pStyle w:val="Body"/>
        <w:numPr>
          <w:ilvl w:val="0"/>
          <w:numId w:val="4"/>
        </w:numPr>
        <w:bidi w:val="0"/>
      </w:pPr>
      <w:r>
        <w:rPr>
          <w:rtl w:val="0"/>
        </w:rPr>
        <w:t>Report concerns or potential misuse</w:t>
      </w:r>
    </w:p>
    <w:p>
      <w:pPr>
        <w:pStyle w:val="Body"/>
        <w:numPr>
          <w:ilvl w:val="0"/>
          <w:numId w:val="4"/>
        </w:numPr>
        <w:bidi w:val="0"/>
      </w:pPr>
      <w:r>
        <w:rPr>
          <w:rtl w:val="0"/>
        </w:rPr>
        <w:t>Adhere to data handling protocols when using AI</w:t>
      </w:r>
    </w:p>
    <w:p>
      <w:pPr>
        <w:pStyle w:val="Heading 2"/>
        <w:bidi w:val="0"/>
      </w:pPr>
      <w:r>
        <w:rPr>
          <w:rtl w:val="0"/>
        </w:rPr>
        <w:t>2.4 IT/Security Teams</w:t>
      </w:r>
    </w:p>
    <w:p>
      <w:pPr>
        <w:pStyle w:val="Body"/>
        <w:numPr>
          <w:ilvl w:val="0"/>
          <w:numId w:val="4"/>
        </w:numPr>
        <w:bidi w:val="0"/>
      </w:pPr>
      <w:r>
        <w:rPr>
          <w:rtl w:val="0"/>
        </w:rPr>
        <w:t>Implement technical safeguards for AI systems</w:t>
      </w:r>
    </w:p>
    <w:p>
      <w:pPr>
        <w:pStyle w:val="Body"/>
        <w:numPr>
          <w:ilvl w:val="0"/>
          <w:numId w:val="4"/>
        </w:numPr>
        <w:bidi w:val="0"/>
      </w:pPr>
      <w:r>
        <w:rPr>
          <w:rtl w:val="0"/>
        </w:rPr>
        <w:t>Monitor AI system access and usage</w:t>
      </w:r>
    </w:p>
    <w:p>
      <w:pPr>
        <w:pStyle w:val="Body"/>
        <w:numPr>
          <w:ilvl w:val="0"/>
          <w:numId w:val="4"/>
        </w:numPr>
        <w:bidi w:val="0"/>
      </w:pPr>
      <w:r>
        <w:rPr>
          <w:rtl w:val="0"/>
        </w:rPr>
        <w:t>Conduct security assessments of AI implementations</w:t>
      </w:r>
    </w:p>
    <w:p>
      <w:pPr>
        <w:pStyle w:val="Body"/>
        <w:numPr>
          <w:ilvl w:val="0"/>
          <w:numId w:val="4"/>
        </w:numPr>
        <w:bidi w:val="0"/>
      </w:pPr>
      <w:r>
        <w:rPr>
          <w:rtl w:val="0"/>
        </w:rPr>
        <w:t>Support incident response for AI-related issues</w:t>
      </w:r>
    </w:p>
    <w:p>
      <w:pPr>
        <w:pStyle w:val="Heading"/>
        <w:bidi w:val="0"/>
      </w:pPr>
      <w:r>
        <w:rPr>
          <w:rtl w:val="0"/>
          <w:lang w:val="it-IT"/>
        </w:rPr>
        <w:t>3. AI System Classification</w:t>
      </w:r>
    </w:p>
    <w:p>
      <w:pPr>
        <w:pStyle w:val="Body"/>
        <w:bidi w:val="0"/>
      </w:pPr>
      <w:r>
        <w:rPr>
          <w:rtl w:val="0"/>
        </w:rPr>
        <w:t>All AI systems must be classified according to risk level:</w:t>
      </w:r>
    </w:p>
    <w:p>
      <w:pPr>
        <w:pStyle w:val="Heading 2"/>
        <w:bidi w:val="0"/>
      </w:pPr>
      <w:r>
        <w:rPr>
          <w:rtl w:val="0"/>
        </w:rPr>
        <w:t>3.1 Low Risk</w:t>
      </w:r>
    </w:p>
    <w:p>
      <w:pPr>
        <w:pStyle w:val="Body"/>
        <w:numPr>
          <w:ilvl w:val="0"/>
          <w:numId w:val="4"/>
        </w:numPr>
        <w:bidi w:val="0"/>
      </w:pPr>
      <w:r>
        <w:rPr>
          <w:rtl w:val="0"/>
        </w:rPr>
        <w:t>Systems with minimal privacy, security or operational impact</w:t>
      </w:r>
    </w:p>
    <w:p>
      <w:pPr>
        <w:pStyle w:val="Body"/>
        <w:numPr>
          <w:ilvl w:val="0"/>
          <w:numId w:val="4"/>
        </w:numPr>
        <w:bidi w:val="0"/>
      </w:pPr>
      <w:r>
        <w:rPr>
          <w:rtl w:val="0"/>
        </w:rPr>
        <w:t>Examples: basic document summarisation, simple data analysis</w:t>
      </w:r>
    </w:p>
    <w:p>
      <w:pPr>
        <w:pStyle w:val="Body"/>
        <w:numPr>
          <w:ilvl w:val="0"/>
          <w:numId w:val="4"/>
        </w:numPr>
        <w:bidi w:val="0"/>
      </w:pPr>
      <w:r>
        <w:rPr>
          <w:rtl w:val="0"/>
        </w:rPr>
        <w:t>Requirements: departmental approval, basic documentation</w:t>
      </w:r>
    </w:p>
    <w:p>
      <w:pPr>
        <w:pStyle w:val="Heading 2"/>
        <w:bidi w:val="0"/>
      </w:pPr>
      <w:r>
        <w:rPr>
          <w:rtl w:val="0"/>
          <w:lang w:val="de-DE"/>
        </w:rPr>
        <w:t>3.2 Medium Risk</w:t>
      </w:r>
    </w:p>
    <w:p>
      <w:pPr>
        <w:pStyle w:val="Body"/>
        <w:numPr>
          <w:ilvl w:val="0"/>
          <w:numId w:val="4"/>
        </w:numPr>
        <w:bidi w:val="0"/>
      </w:pPr>
      <w:r>
        <w:rPr>
          <w:rtl w:val="0"/>
        </w:rPr>
        <w:t>Systems affecting operational efficiency or using non-sensitive data</w:t>
      </w:r>
    </w:p>
    <w:p>
      <w:pPr>
        <w:pStyle w:val="Body"/>
        <w:numPr>
          <w:ilvl w:val="0"/>
          <w:numId w:val="4"/>
        </w:numPr>
        <w:bidi w:val="0"/>
      </w:pPr>
      <w:r>
        <w:rPr>
          <w:rtl w:val="0"/>
        </w:rPr>
        <w:t>Examples: customer service chatbots, operational forecasting</w:t>
      </w:r>
    </w:p>
    <w:p>
      <w:pPr>
        <w:pStyle w:val="Body"/>
        <w:numPr>
          <w:ilvl w:val="0"/>
          <w:numId w:val="4"/>
        </w:numPr>
        <w:bidi w:val="0"/>
      </w:pPr>
      <w:r>
        <w:rPr>
          <w:rtl w:val="0"/>
        </w:rPr>
        <w:t>Requirements: AI Governance Committee approval, vendor assessment, training</w:t>
      </w:r>
    </w:p>
    <w:p>
      <w:pPr>
        <w:pStyle w:val="Heading 2"/>
        <w:bidi w:val="0"/>
      </w:pPr>
      <w:r>
        <w:rPr>
          <w:rtl w:val="0"/>
        </w:rPr>
        <w:t>3.3 High Risk</w:t>
      </w:r>
    </w:p>
    <w:p>
      <w:pPr>
        <w:pStyle w:val="Body"/>
        <w:numPr>
          <w:ilvl w:val="0"/>
          <w:numId w:val="4"/>
        </w:numPr>
        <w:bidi w:val="0"/>
      </w:pPr>
      <w:r>
        <w:rPr>
          <w:rtl w:val="0"/>
        </w:rPr>
        <w:t>Systems using sensitive data or affecting critical decisions</w:t>
      </w:r>
    </w:p>
    <w:p>
      <w:pPr>
        <w:pStyle w:val="Body"/>
        <w:numPr>
          <w:ilvl w:val="0"/>
          <w:numId w:val="4"/>
        </w:numPr>
        <w:bidi w:val="0"/>
      </w:pPr>
      <w:r>
        <w:rPr>
          <w:rtl w:val="0"/>
        </w:rPr>
        <w:t>Examples: HR screening tools, credit decisioning, sensitive data processing</w:t>
      </w:r>
    </w:p>
    <w:p>
      <w:pPr>
        <w:pStyle w:val="Body"/>
        <w:numPr>
          <w:ilvl w:val="0"/>
          <w:numId w:val="4"/>
        </w:numPr>
        <w:bidi w:val="0"/>
      </w:pPr>
      <w:r>
        <w:rPr>
          <w:rtl w:val="0"/>
        </w:rPr>
        <w:t>Requirements: executive approval, impact assessment, monitoring, regular review</w:t>
      </w:r>
    </w:p>
    <w:p>
      <w:pPr>
        <w:pStyle w:val="Heading"/>
        <w:bidi w:val="0"/>
      </w:pPr>
      <w:r>
        <w:rPr>
          <w:rtl w:val="0"/>
          <w:lang w:val="en-US"/>
        </w:rPr>
        <w:t>4. Acceptable Use Guidelines</w:t>
      </w:r>
    </w:p>
    <w:p>
      <w:pPr>
        <w:pStyle w:val="Heading 2"/>
        <w:bidi w:val="0"/>
      </w:pPr>
      <w:r>
        <w:rPr>
          <w:rtl w:val="0"/>
        </w:rPr>
        <w:t>4.1 Approved AI Platforms</w:t>
      </w:r>
    </w:p>
    <w:p>
      <w:pPr>
        <w:pStyle w:val="Body"/>
        <w:numPr>
          <w:ilvl w:val="0"/>
          <w:numId w:val="4"/>
        </w:numPr>
        <w:bidi w:val="0"/>
      </w:pPr>
      <w:r>
        <w:rPr>
          <w:rtl w:val="0"/>
          <w:lang w:val="pt-PT"/>
        </w:rPr>
        <w:t>[LIST APPROVED PUBLIC AI PLATFORMS, e.g., Microsoft Copilot, Claude]</w:t>
      </w:r>
    </w:p>
    <w:p>
      <w:pPr>
        <w:pStyle w:val="Body"/>
        <w:numPr>
          <w:ilvl w:val="0"/>
          <w:numId w:val="4"/>
        </w:numPr>
        <w:bidi w:val="0"/>
      </w:pPr>
      <w:r>
        <w:rPr>
          <w:rtl w:val="0"/>
        </w:rPr>
        <w:t>[LIST APPROVED PRIVATE AI IMPLEMENTATIONS]</w:t>
      </w:r>
    </w:p>
    <w:p>
      <w:pPr>
        <w:pStyle w:val="Body"/>
        <w:numPr>
          <w:ilvl w:val="0"/>
          <w:numId w:val="4"/>
        </w:numPr>
        <w:bidi w:val="0"/>
      </w:pPr>
      <w:r>
        <w:rPr>
          <w:rtl w:val="0"/>
        </w:rPr>
        <w:t>Unapproved AI platforms must not be used without explicit permission</w:t>
      </w:r>
    </w:p>
    <w:p>
      <w:pPr>
        <w:pStyle w:val="Heading 2"/>
        <w:bidi w:val="0"/>
      </w:pPr>
      <w:r>
        <w:rPr>
          <w:rtl w:val="0"/>
        </w:rPr>
        <w:t>4.2 Data Protection Requirements</w:t>
      </w:r>
    </w:p>
    <w:p>
      <w:pPr>
        <w:pStyle w:val="Body"/>
        <w:numPr>
          <w:ilvl w:val="0"/>
          <w:numId w:val="4"/>
        </w:numPr>
        <w:bidi w:val="0"/>
      </w:pPr>
      <w:r>
        <w:rPr>
          <w:rtl w:val="0"/>
        </w:rPr>
        <w:t>No sensitive personal data may be shared with public AI platforms</w:t>
      </w:r>
    </w:p>
    <w:p>
      <w:pPr>
        <w:pStyle w:val="Body"/>
        <w:numPr>
          <w:ilvl w:val="0"/>
          <w:numId w:val="4"/>
        </w:numPr>
        <w:bidi w:val="0"/>
      </w:pPr>
      <w:r>
        <w:rPr>
          <w:rtl w:val="0"/>
        </w:rPr>
        <w:t>No proprietary business information may be shared with public AI platforms</w:t>
      </w:r>
    </w:p>
    <w:p>
      <w:pPr>
        <w:pStyle w:val="Body"/>
        <w:numPr>
          <w:ilvl w:val="0"/>
          <w:numId w:val="4"/>
        </w:numPr>
        <w:bidi w:val="0"/>
      </w:pPr>
      <w:r>
        <w:rPr>
          <w:rtl w:val="0"/>
        </w:rPr>
        <w:t>Use private AI implementations for sensitive work</w:t>
      </w:r>
    </w:p>
    <w:p>
      <w:pPr>
        <w:pStyle w:val="Body"/>
        <w:numPr>
          <w:ilvl w:val="0"/>
          <w:numId w:val="4"/>
        </w:numPr>
        <w:bidi w:val="0"/>
      </w:pPr>
      <w:r>
        <w:rPr>
          <w:rtl w:val="0"/>
        </w:rPr>
        <w:t>All AI outputs must be verified before operational use</w:t>
      </w:r>
    </w:p>
    <w:p>
      <w:pPr>
        <w:pStyle w:val="Heading 2"/>
        <w:bidi w:val="0"/>
      </w:pPr>
      <w:r>
        <w:rPr>
          <w:rtl w:val="0"/>
          <w:lang w:val="de-DE"/>
        </w:rPr>
        <w:t>4.3 Prohibited Uses</w:t>
      </w:r>
    </w:p>
    <w:p>
      <w:pPr>
        <w:pStyle w:val="Body"/>
        <w:numPr>
          <w:ilvl w:val="0"/>
          <w:numId w:val="4"/>
        </w:numPr>
        <w:bidi w:val="0"/>
      </w:pPr>
      <w:r>
        <w:rPr>
          <w:rtl w:val="0"/>
        </w:rPr>
        <w:t>Generating content that violates code of conduct (discriminatory, offensive)</w:t>
      </w:r>
    </w:p>
    <w:p>
      <w:pPr>
        <w:pStyle w:val="Body"/>
        <w:numPr>
          <w:ilvl w:val="0"/>
          <w:numId w:val="4"/>
        </w:numPr>
        <w:bidi w:val="0"/>
      </w:pPr>
      <w:r>
        <w:rPr>
          <w:rtl w:val="0"/>
        </w:rPr>
        <w:t>Bypassing security controls or authentication systems</w:t>
      </w:r>
    </w:p>
    <w:p>
      <w:pPr>
        <w:pStyle w:val="Body"/>
        <w:numPr>
          <w:ilvl w:val="0"/>
          <w:numId w:val="4"/>
        </w:numPr>
        <w:bidi w:val="0"/>
      </w:pPr>
      <w:r>
        <w:rPr>
          <w:rtl w:val="0"/>
        </w:rPr>
        <w:t>Making critical decisions without human oversight</w:t>
      </w:r>
    </w:p>
    <w:p>
      <w:pPr>
        <w:pStyle w:val="Body"/>
        <w:numPr>
          <w:ilvl w:val="0"/>
          <w:numId w:val="4"/>
        </w:numPr>
        <w:bidi w:val="0"/>
      </w:pPr>
      <w:r>
        <w:rPr>
          <w:rtl w:val="0"/>
        </w:rPr>
        <w:t>Automating processes without appropriate testing and approval</w:t>
      </w:r>
    </w:p>
    <w:p>
      <w:pPr>
        <w:pStyle w:val="Heading"/>
        <w:bidi w:val="0"/>
      </w:pPr>
      <w:r>
        <w:rPr>
          <w:rtl w:val="0"/>
          <w:lang w:val="en-US"/>
        </w:rPr>
        <w:t>5. Acquisition and Development Process</w:t>
      </w:r>
    </w:p>
    <w:p>
      <w:pPr>
        <w:pStyle w:val="Heading 2"/>
        <w:bidi w:val="0"/>
      </w:pPr>
      <w:r>
        <w:rPr>
          <w:rtl w:val="0"/>
        </w:rPr>
        <w:t>5.1 New AI System Requests</w:t>
      </w:r>
    </w:p>
    <w:p>
      <w:pPr>
        <w:pStyle w:val="Body"/>
        <w:numPr>
          <w:ilvl w:val="0"/>
          <w:numId w:val="4"/>
        </w:numPr>
        <w:bidi w:val="0"/>
      </w:pPr>
      <w:r>
        <w:rPr>
          <w:rtl w:val="0"/>
          <w:lang w:val="de-DE"/>
        </w:rPr>
        <w:t>Complete AI Use Case Form [LINK TO FORM]</w:t>
      </w:r>
    </w:p>
    <w:p>
      <w:pPr>
        <w:pStyle w:val="Body"/>
        <w:numPr>
          <w:ilvl w:val="0"/>
          <w:numId w:val="4"/>
        </w:numPr>
        <w:bidi w:val="0"/>
      </w:pPr>
      <w:r>
        <w:rPr>
          <w:rtl w:val="0"/>
        </w:rPr>
        <w:t>Document intended benefits and potential risks</w:t>
      </w:r>
    </w:p>
    <w:p>
      <w:pPr>
        <w:pStyle w:val="Body"/>
        <w:numPr>
          <w:ilvl w:val="0"/>
          <w:numId w:val="4"/>
        </w:numPr>
        <w:bidi w:val="0"/>
      </w:pPr>
      <w:r>
        <w:rPr>
          <w:rtl w:val="0"/>
        </w:rPr>
        <w:t>Identify data sources and output usage</w:t>
      </w:r>
    </w:p>
    <w:p>
      <w:pPr>
        <w:pStyle w:val="Body"/>
        <w:numPr>
          <w:ilvl w:val="0"/>
          <w:numId w:val="4"/>
        </w:numPr>
        <w:bidi w:val="0"/>
      </w:pPr>
      <w:r>
        <w:rPr>
          <w:rtl w:val="0"/>
        </w:rPr>
        <w:t>Submit to AI Governance Committee for review</w:t>
      </w:r>
    </w:p>
    <w:p>
      <w:pPr>
        <w:pStyle w:val="Heading 2"/>
        <w:bidi w:val="0"/>
      </w:pPr>
      <w:r>
        <w:rPr>
          <w:rtl w:val="0"/>
          <w:lang w:val="it-IT"/>
        </w:rPr>
        <w:t>5.2 Vendor Assessment Criteria</w:t>
      </w:r>
    </w:p>
    <w:p>
      <w:pPr>
        <w:pStyle w:val="Body"/>
        <w:numPr>
          <w:ilvl w:val="0"/>
          <w:numId w:val="4"/>
        </w:numPr>
        <w:bidi w:val="0"/>
      </w:pPr>
      <w:r>
        <w:rPr>
          <w:rtl w:val="0"/>
        </w:rPr>
        <w:t>Data security and privacy practices</w:t>
      </w:r>
    </w:p>
    <w:p>
      <w:pPr>
        <w:pStyle w:val="Body"/>
        <w:numPr>
          <w:ilvl w:val="0"/>
          <w:numId w:val="4"/>
        </w:numPr>
        <w:bidi w:val="0"/>
      </w:pPr>
      <w:r>
        <w:rPr>
          <w:rtl w:val="0"/>
        </w:rPr>
        <w:t>Algorithm transparency and explainability</w:t>
      </w:r>
    </w:p>
    <w:p>
      <w:pPr>
        <w:pStyle w:val="Body"/>
        <w:numPr>
          <w:ilvl w:val="0"/>
          <w:numId w:val="4"/>
        </w:numPr>
        <w:bidi w:val="0"/>
      </w:pPr>
      <w:r>
        <w:rPr>
          <w:rtl w:val="0"/>
        </w:rPr>
        <w:t>Service level agreements and support</w:t>
      </w:r>
    </w:p>
    <w:p>
      <w:pPr>
        <w:pStyle w:val="Body"/>
        <w:numPr>
          <w:ilvl w:val="0"/>
          <w:numId w:val="4"/>
        </w:numPr>
        <w:bidi w:val="0"/>
      </w:pPr>
      <w:r>
        <w:rPr>
          <w:rtl w:val="0"/>
        </w:rPr>
        <w:t>Training data diversity and bias mitigation</w:t>
      </w:r>
    </w:p>
    <w:p>
      <w:pPr>
        <w:pStyle w:val="Body"/>
        <w:numPr>
          <w:ilvl w:val="0"/>
          <w:numId w:val="4"/>
        </w:numPr>
        <w:bidi w:val="0"/>
      </w:pPr>
      <w:r>
        <w:rPr>
          <w:rtl w:val="0"/>
        </w:rPr>
        <w:t>Compliance with relevant regulations</w:t>
      </w:r>
    </w:p>
    <w:p>
      <w:pPr>
        <w:pStyle w:val="Heading 2"/>
        <w:bidi w:val="0"/>
      </w:pPr>
      <w:r>
        <w:rPr>
          <w:rtl w:val="0"/>
        </w:rPr>
        <w:t>5.3 Development Standards</w:t>
      </w:r>
    </w:p>
    <w:p>
      <w:pPr>
        <w:pStyle w:val="Body"/>
        <w:numPr>
          <w:ilvl w:val="0"/>
          <w:numId w:val="4"/>
        </w:numPr>
        <w:bidi w:val="0"/>
      </w:pPr>
      <w:r>
        <w:rPr>
          <w:rtl w:val="0"/>
        </w:rPr>
        <w:t>Documented design and training methodology</w:t>
      </w:r>
    </w:p>
    <w:p>
      <w:pPr>
        <w:pStyle w:val="Body"/>
        <w:numPr>
          <w:ilvl w:val="0"/>
          <w:numId w:val="4"/>
        </w:numPr>
        <w:bidi w:val="0"/>
      </w:pPr>
      <w:r>
        <w:rPr>
          <w:rtl w:val="0"/>
        </w:rPr>
        <w:t>Regular testing for accuracy and bias</w:t>
      </w:r>
    </w:p>
    <w:p>
      <w:pPr>
        <w:pStyle w:val="Body"/>
        <w:numPr>
          <w:ilvl w:val="0"/>
          <w:numId w:val="4"/>
        </w:numPr>
        <w:bidi w:val="0"/>
      </w:pPr>
      <w:r>
        <w:rPr>
          <w:rtl w:val="0"/>
        </w:rPr>
        <w:t>Clear documentation of limitations</w:t>
      </w:r>
    </w:p>
    <w:p>
      <w:pPr>
        <w:pStyle w:val="Body"/>
        <w:numPr>
          <w:ilvl w:val="0"/>
          <w:numId w:val="4"/>
        </w:numPr>
        <w:bidi w:val="0"/>
      </w:pPr>
      <w:r>
        <w:rPr>
          <w:rtl w:val="0"/>
        </w:rPr>
        <w:t>Human oversight mechanisms</w:t>
      </w:r>
    </w:p>
    <w:p>
      <w:pPr>
        <w:pStyle w:val="Body"/>
        <w:numPr>
          <w:ilvl w:val="0"/>
          <w:numId w:val="4"/>
        </w:numPr>
        <w:bidi w:val="0"/>
      </w:pPr>
      <w:r>
        <w:rPr>
          <w:rtl w:val="0"/>
        </w:rPr>
        <w:t>Security by design principles</w:t>
      </w:r>
    </w:p>
    <w:p>
      <w:pPr>
        <w:pStyle w:val="Heading"/>
        <w:bidi w:val="0"/>
      </w:pPr>
      <w:r>
        <w:rPr>
          <w:rtl w:val="0"/>
          <w:lang w:val="en-US"/>
        </w:rPr>
        <w:t>6. Training and Awareness</w:t>
      </w:r>
    </w:p>
    <w:p>
      <w:pPr>
        <w:pStyle w:val="Heading 2"/>
        <w:bidi w:val="0"/>
      </w:pPr>
      <w:r>
        <w:rPr>
          <w:rtl w:val="0"/>
        </w:rPr>
        <w:t>6.1 Required Training</w:t>
      </w:r>
    </w:p>
    <w:p>
      <w:pPr>
        <w:pStyle w:val="Body"/>
        <w:numPr>
          <w:ilvl w:val="0"/>
          <w:numId w:val="4"/>
        </w:numPr>
        <w:bidi w:val="0"/>
      </w:pPr>
      <w:r>
        <w:rPr>
          <w:rtl w:val="0"/>
        </w:rPr>
        <w:t>AI Literacy Fundamentals (all staff)</w:t>
      </w:r>
    </w:p>
    <w:p>
      <w:pPr>
        <w:pStyle w:val="Body"/>
        <w:numPr>
          <w:ilvl w:val="0"/>
          <w:numId w:val="4"/>
        </w:numPr>
        <w:bidi w:val="0"/>
      </w:pPr>
      <w:r>
        <w:rPr>
          <w:rtl w:val="0"/>
        </w:rPr>
        <w:t>AI Security Awareness (all staff using AI tools)</w:t>
      </w:r>
    </w:p>
    <w:p>
      <w:pPr>
        <w:pStyle w:val="Body"/>
        <w:numPr>
          <w:ilvl w:val="0"/>
          <w:numId w:val="4"/>
        </w:numPr>
        <w:bidi w:val="0"/>
      </w:pPr>
      <w:r>
        <w:rPr>
          <w:rtl w:val="0"/>
        </w:rPr>
        <w:t>Advanced AI Training (developers, analysts)</w:t>
      </w:r>
    </w:p>
    <w:p>
      <w:pPr>
        <w:pStyle w:val="Body"/>
        <w:numPr>
          <w:ilvl w:val="0"/>
          <w:numId w:val="4"/>
        </w:numPr>
        <w:bidi w:val="0"/>
      </w:pPr>
      <w:r>
        <w:rPr>
          <w:rtl w:val="0"/>
        </w:rPr>
        <w:t>AI Ethics and Governance (leadership, AI Committee)</w:t>
      </w:r>
    </w:p>
    <w:p>
      <w:pPr>
        <w:pStyle w:val="Heading 2"/>
        <w:bidi w:val="0"/>
      </w:pPr>
      <w:r>
        <w:rPr>
          <w:rtl w:val="0"/>
        </w:rPr>
        <w:t>6.2 Training Frequency</w:t>
      </w:r>
    </w:p>
    <w:p>
      <w:pPr>
        <w:pStyle w:val="Body"/>
        <w:numPr>
          <w:ilvl w:val="0"/>
          <w:numId w:val="4"/>
        </w:numPr>
        <w:bidi w:val="0"/>
      </w:pPr>
      <w:r>
        <w:rPr>
          <w:rtl w:val="0"/>
        </w:rPr>
        <w:t>Initial training upon employment</w:t>
      </w:r>
    </w:p>
    <w:p>
      <w:pPr>
        <w:pStyle w:val="Body"/>
        <w:numPr>
          <w:ilvl w:val="0"/>
          <w:numId w:val="4"/>
        </w:numPr>
        <w:bidi w:val="0"/>
      </w:pPr>
      <w:r>
        <w:rPr>
          <w:rtl w:val="0"/>
        </w:rPr>
        <w:t>Annual refresher courses</w:t>
      </w:r>
    </w:p>
    <w:p>
      <w:pPr>
        <w:pStyle w:val="Body"/>
        <w:numPr>
          <w:ilvl w:val="0"/>
          <w:numId w:val="4"/>
        </w:numPr>
        <w:bidi w:val="0"/>
      </w:pPr>
      <w:r>
        <w:rPr>
          <w:rtl w:val="0"/>
        </w:rPr>
        <w:t>Additional training when new systems are implemented</w:t>
      </w:r>
    </w:p>
    <w:p>
      <w:pPr>
        <w:pStyle w:val="Body"/>
        <w:numPr>
          <w:ilvl w:val="0"/>
          <w:numId w:val="4"/>
        </w:numPr>
        <w:bidi w:val="0"/>
      </w:pPr>
      <w:r>
        <w:rPr>
          <w:rtl w:val="0"/>
        </w:rPr>
        <w:t>Remedial training after policy violations</w:t>
      </w:r>
    </w:p>
    <w:p>
      <w:pPr>
        <w:pStyle w:val="Heading"/>
        <w:bidi w:val="0"/>
      </w:pPr>
      <w:r>
        <w:rPr>
          <w:rtl w:val="0"/>
          <w:lang w:val="en-US"/>
        </w:rPr>
        <w:t>7. Monitoring and Compliance</w:t>
      </w:r>
    </w:p>
    <w:p>
      <w:pPr>
        <w:pStyle w:val="Heading 2"/>
        <w:bidi w:val="0"/>
      </w:pPr>
      <w:r>
        <w:rPr>
          <w:rtl w:val="0"/>
        </w:rPr>
        <w:t>7.1 Usage Monitoring</w:t>
      </w:r>
    </w:p>
    <w:p>
      <w:pPr>
        <w:pStyle w:val="Body"/>
        <w:numPr>
          <w:ilvl w:val="0"/>
          <w:numId w:val="4"/>
        </w:numPr>
        <w:bidi w:val="0"/>
      </w:pPr>
      <w:r>
        <w:rPr>
          <w:rtl w:val="0"/>
        </w:rPr>
        <w:t>Technical controls to track AI system usage</w:t>
      </w:r>
    </w:p>
    <w:p>
      <w:pPr>
        <w:pStyle w:val="Body"/>
        <w:numPr>
          <w:ilvl w:val="0"/>
          <w:numId w:val="4"/>
        </w:numPr>
        <w:bidi w:val="0"/>
      </w:pPr>
      <w:r>
        <w:rPr>
          <w:rtl w:val="0"/>
        </w:rPr>
        <w:t>Regular audits of AI interactions</w:t>
      </w:r>
    </w:p>
    <w:p>
      <w:pPr>
        <w:pStyle w:val="Body"/>
        <w:numPr>
          <w:ilvl w:val="0"/>
          <w:numId w:val="4"/>
        </w:numPr>
        <w:bidi w:val="0"/>
      </w:pPr>
      <w:r>
        <w:rPr>
          <w:rtl w:val="0"/>
        </w:rPr>
        <w:t>Cost monitoring and optimisation</w:t>
      </w:r>
    </w:p>
    <w:p>
      <w:pPr>
        <w:pStyle w:val="Body"/>
        <w:numPr>
          <w:ilvl w:val="0"/>
          <w:numId w:val="4"/>
        </w:numPr>
        <w:bidi w:val="0"/>
      </w:pPr>
      <w:r>
        <w:rPr>
          <w:rtl w:val="0"/>
        </w:rPr>
        <w:t>Performance and output quality assessment</w:t>
      </w:r>
    </w:p>
    <w:p>
      <w:pPr>
        <w:pStyle w:val="Heading 2"/>
        <w:bidi w:val="0"/>
      </w:pPr>
      <w:r>
        <w:rPr>
          <w:rtl w:val="0"/>
        </w:rPr>
        <w:t>7.2 Incident Response</w:t>
      </w:r>
    </w:p>
    <w:p>
      <w:pPr>
        <w:pStyle w:val="Body"/>
        <w:numPr>
          <w:ilvl w:val="0"/>
          <w:numId w:val="4"/>
        </w:numPr>
        <w:bidi w:val="0"/>
      </w:pPr>
      <w:r>
        <w:rPr>
          <w:rtl w:val="0"/>
        </w:rPr>
        <w:t>AI-specific incident reporting procedure</w:t>
      </w:r>
    </w:p>
    <w:p>
      <w:pPr>
        <w:pStyle w:val="Body"/>
        <w:numPr>
          <w:ilvl w:val="0"/>
          <w:numId w:val="4"/>
        </w:numPr>
        <w:bidi w:val="0"/>
      </w:pPr>
      <w:r>
        <w:rPr>
          <w:rtl w:val="0"/>
        </w:rPr>
        <w:t>Investigation process for AI misuse or failures</w:t>
      </w:r>
    </w:p>
    <w:p>
      <w:pPr>
        <w:pStyle w:val="Body"/>
        <w:numPr>
          <w:ilvl w:val="0"/>
          <w:numId w:val="4"/>
        </w:numPr>
        <w:bidi w:val="0"/>
      </w:pPr>
      <w:r>
        <w:rPr>
          <w:rtl w:val="0"/>
        </w:rPr>
        <w:t>Remediation steps for identified issues</w:t>
      </w:r>
    </w:p>
    <w:p>
      <w:pPr>
        <w:pStyle w:val="Body"/>
        <w:numPr>
          <w:ilvl w:val="0"/>
          <w:numId w:val="4"/>
        </w:numPr>
        <w:bidi w:val="0"/>
      </w:pPr>
      <w:r>
        <w:rPr>
          <w:rtl w:val="0"/>
        </w:rPr>
        <w:t>Lessons learned process for continuous improvement</w:t>
      </w:r>
    </w:p>
    <w:p>
      <w:pPr>
        <w:pStyle w:val="Heading 2"/>
        <w:bidi w:val="0"/>
      </w:pPr>
      <w:r>
        <w:rPr>
          <w:rtl w:val="0"/>
        </w:rPr>
        <w:t>7.3 Policy Violations</w:t>
      </w:r>
    </w:p>
    <w:p>
      <w:pPr>
        <w:pStyle w:val="Body"/>
        <w:numPr>
          <w:ilvl w:val="0"/>
          <w:numId w:val="4"/>
        </w:numPr>
        <w:bidi w:val="0"/>
      </w:pPr>
      <w:r>
        <w:rPr>
          <w:rtl w:val="0"/>
        </w:rPr>
        <w:t>Graduated response based on severity and intent</w:t>
      </w:r>
    </w:p>
    <w:p>
      <w:pPr>
        <w:pStyle w:val="Body"/>
        <w:numPr>
          <w:ilvl w:val="0"/>
          <w:numId w:val="4"/>
        </w:numPr>
        <w:bidi w:val="0"/>
      </w:pPr>
      <w:r>
        <w:rPr>
          <w:rtl w:val="0"/>
        </w:rPr>
        <w:t>Education and additional training for minor violations</w:t>
      </w:r>
    </w:p>
    <w:p>
      <w:pPr>
        <w:pStyle w:val="Body"/>
        <w:numPr>
          <w:ilvl w:val="0"/>
          <w:numId w:val="4"/>
        </w:numPr>
        <w:bidi w:val="0"/>
      </w:pPr>
      <w:r>
        <w:rPr>
          <w:rtl w:val="0"/>
        </w:rPr>
        <w:t>Disciplinary action for serious or repeated violations</w:t>
      </w:r>
    </w:p>
    <w:p>
      <w:pPr>
        <w:pStyle w:val="Heading"/>
        <w:bidi w:val="0"/>
      </w:pPr>
      <w:r>
        <w:rPr>
          <w:rtl w:val="0"/>
          <w:lang w:val="en-US"/>
        </w:rPr>
        <w:t>8. Regulatory Compliance</w:t>
      </w:r>
    </w:p>
    <w:p>
      <w:pPr>
        <w:pStyle w:val="Heading 2"/>
        <w:bidi w:val="0"/>
      </w:pPr>
      <w:r>
        <w:rPr>
          <w:rtl w:val="0"/>
        </w:rPr>
        <w:t>8.1 EU AI Act Compliance</w:t>
      </w:r>
    </w:p>
    <w:p>
      <w:pPr>
        <w:pStyle w:val="Body"/>
        <w:numPr>
          <w:ilvl w:val="0"/>
          <w:numId w:val="4"/>
        </w:numPr>
        <w:bidi w:val="0"/>
      </w:pPr>
      <w:r>
        <w:rPr>
          <w:rtl w:val="0"/>
        </w:rPr>
        <w:t>Documentation of high-risk AI systems</w:t>
      </w:r>
    </w:p>
    <w:p>
      <w:pPr>
        <w:pStyle w:val="Body"/>
        <w:numPr>
          <w:ilvl w:val="0"/>
          <w:numId w:val="4"/>
        </w:numPr>
        <w:bidi w:val="0"/>
      </w:pPr>
      <w:r>
        <w:rPr>
          <w:rtl w:val="0"/>
        </w:rPr>
        <w:t>Risk management system maintenance</w:t>
      </w:r>
    </w:p>
    <w:p>
      <w:pPr>
        <w:pStyle w:val="Body"/>
        <w:numPr>
          <w:ilvl w:val="0"/>
          <w:numId w:val="4"/>
        </w:numPr>
        <w:bidi w:val="0"/>
      </w:pPr>
      <w:r>
        <w:rPr>
          <w:rtl w:val="0"/>
        </w:rPr>
        <w:t>Human oversight mechanisms</w:t>
      </w:r>
    </w:p>
    <w:p>
      <w:pPr>
        <w:pStyle w:val="Body"/>
        <w:numPr>
          <w:ilvl w:val="0"/>
          <w:numId w:val="4"/>
        </w:numPr>
        <w:bidi w:val="0"/>
      </w:pPr>
      <w:r>
        <w:rPr>
          <w:rtl w:val="0"/>
        </w:rPr>
        <w:t>Technical documentation and record-keeping</w:t>
      </w:r>
    </w:p>
    <w:p>
      <w:pPr>
        <w:pStyle w:val="Heading 2"/>
        <w:bidi w:val="0"/>
      </w:pPr>
      <w:r>
        <w:rPr>
          <w:rtl w:val="0"/>
        </w:rPr>
        <w:t>8.2 Data Protection Compliance</w:t>
      </w:r>
    </w:p>
    <w:p>
      <w:pPr>
        <w:pStyle w:val="Body"/>
        <w:numPr>
          <w:ilvl w:val="0"/>
          <w:numId w:val="4"/>
        </w:numPr>
        <w:bidi w:val="0"/>
      </w:pPr>
      <w:r>
        <w:rPr>
          <w:rtl w:val="0"/>
        </w:rPr>
        <w:t>Privacy impact assessments for AI systems</w:t>
      </w:r>
    </w:p>
    <w:p>
      <w:pPr>
        <w:pStyle w:val="Body"/>
        <w:numPr>
          <w:ilvl w:val="0"/>
          <w:numId w:val="4"/>
        </w:numPr>
        <w:bidi w:val="0"/>
      </w:pPr>
      <w:r>
        <w:rPr>
          <w:rtl w:val="0"/>
        </w:rPr>
        <w:t>Data minimisation principles in AI applications</w:t>
      </w:r>
    </w:p>
    <w:p>
      <w:pPr>
        <w:pStyle w:val="Body"/>
        <w:numPr>
          <w:ilvl w:val="0"/>
          <w:numId w:val="4"/>
        </w:numPr>
        <w:bidi w:val="0"/>
      </w:pPr>
      <w:r>
        <w:rPr>
          <w:rtl w:val="0"/>
        </w:rPr>
        <w:t>Transparency regarding AI use affecting data subjects</w:t>
      </w:r>
    </w:p>
    <w:p>
      <w:pPr>
        <w:pStyle w:val="Body"/>
        <w:numPr>
          <w:ilvl w:val="0"/>
          <w:numId w:val="4"/>
        </w:numPr>
        <w:bidi w:val="0"/>
      </w:pPr>
      <w:r>
        <w:rPr>
          <w:rtl w:val="0"/>
        </w:rPr>
        <w:t>Exercise of data subject rights for AI-processed data</w:t>
      </w:r>
    </w:p>
    <w:p>
      <w:pPr>
        <w:pStyle w:val="Heading 2"/>
        <w:bidi w:val="0"/>
      </w:pPr>
      <w:r>
        <w:rPr>
          <w:rtl w:val="0"/>
        </w:rPr>
        <w:t>8.3 Industry-Specific Requirements</w:t>
      </w:r>
    </w:p>
    <w:p>
      <w:pPr>
        <w:pStyle w:val="Body"/>
        <w:numPr>
          <w:ilvl w:val="0"/>
          <w:numId w:val="4"/>
        </w:numPr>
        <w:bidi w:val="0"/>
      </w:pPr>
      <w:r>
        <w:rPr>
          <w:rtl w:val="0"/>
        </w:rPr>
        <w:t>[ADD INDUSTRY-SPECIFIC COMPLIANCE REQUIREMENTS]</w:t>
      </w:r>
    </w:p>
    <w:p>
      <w:pPr>
        <w:pStyle w:val="Heading"/>
        <w:bidi w:val="0"/>
      </w:pPr>
      <w:r>
        <w:rPr>
          <w:rtl w:val="0"/>
          <w:lang w:val="en-US"/>
        </w:rPr>
        <w:t>9. Policy Review and Updates</w:t>
      </w:r>
    </w:p>
    <w:p>
      <w:pPr>
        <w:pStyle w:val="Body"/>
        <w:bidi w:val="0"/>
      </w:pPr>
      <w:r>
        <w:rPr>
          <w:rtl w:val="0"/>
        </w:rPr>
        <w:t>This policy will be reviewed annually or when significant changes occur in AI technology, organisational structure or regulatory requirements.</w:t>
      </w:r>
    </w:p>
    <w:p>
      <w:pPr>
        <w:pStyle w:val="Heading"/>
        <w:bidi w:val="0"/>
      </w:pPr>
      <w:r>
        <w:rPr>
          <w:rtl w:val="0"/>
          <w:lang w:val="en-US"/>
        </w:rPr>
        <w:t>10. Approval and Implementation</w:t>
      </w:r>
    </w:p>
    <w:p>
      <w:pPr>
        <w:pStyle w:val="Body"/>
        <w:bidi w:val="0"/>
      </w:pPr>
      <w:r>
        <w:rPr>
          <w:rtl w:val="0"/>
        </w:rPr>
        <w:t>Policy Owner: [POSITION] Approved by: [APPROVER] Effective Date: [DATE] Next Review Date: [DATE]</w:t>
      </w:r>
    </w:p>
    <w:p>
      <w:pPr>
        <w:pStyle w:val="Heading"/>
        <w:pageBreakBefore w:val="1"/>
      </w:pPr>
      <w:r>
        <w:rPr>
          <w:rtl w:val="0"/>
          <w:lang w:val="it-IT"/>
        </w:rPr>
        <w:t>Appendices</w:t>
      </w:r>
    </w:p>
    <w:p>
      <w:pPr>
        <w:pStyle w:val="Heading 2"/>
        <w:bidi w:val="0"/>
      </w:pPr>
      <w:r>
        <w:rPr>
          <w:rtl w:val="0"/>
        </w:rPr>
        <w:t>Developed by Lanboss AI</w:t>
      </w:r>
    </w:p>
    <w:p>
      <w:pPr>
        <w:pStyle w:val="Body"/>
        <w:bidi w:val="0"/>
      </w:pPr>
      <w:r>
        <w:rPr>
          <w:rtl w:val="0"/>
        </w:rPr>
        <w:t>These appendices provide practical templates and supporting materials for implementing your organisation</w:t>
      </w:r>
      <w:r>
        <w:rPr>
          <w:rtl w:val="1"/>
        </w:rPr>
        <w:t>’</w:t>
      </w:r>
      <w:r>
        <w:rPr>
          <w:rtl w:val="0"/>
        </w:rPr>
        <w:t>s AI policy. Adapt them to suit your specific needs while ensuring compliance with regulatory requirements and maintaining a risk-balanced approach to AI adoption.</w:t>
      </w:r>
    </w:p>
    <w:p>
      <w:pPr>
        <w:pStyle w:val="Body"/>
        <w:bidi w:val="0"/>
      </w:pPr>
    </w:p>
    <w:p>
      <w:pPr>
        <w:pStyle w:val="Body"/>
        <w:bidi w:val="0"/>
      </w:pPr>
    </w:p>
    <w:p>
      <w:pPr>
        <w:pStyle w:val="Heading"/>
        <w:bidi w:val="0"/>
      </w:pPr>
      <w:r>
        <w:rPr>
          <w:rFonts w:ascii="Arial Unicode MS" w:cs="Arial Unicode MS" w:hAnsi="Arial Unicode MS" w:eastAsia="Arial Unicode MS"/>
          <w:b w:val="0"/>
          <w:bCs w:val="0"/>
          <w:i w:val="0"/>
          <w:iCs w:val="0"/>
        </w:rPr>
        <w:br w:type="page"/>
      </w:r>
    </w:p>
    <w:p>
      <w:pPr>
        <w:pStyle w:val="Heading"/>
        <w:bidi w:val="0"/>
        <w:rPr>
          <w:rStyle w:val="None"/>
          <w:shd w:val="clear" w:color="auto" w:fill="ffffff"/>
        </w:rPr>
      </w:pPr>
      <w:r>
        <w:rPr>
          <w:rStyle w:val="None"/>
          <w:shd w:val="clear" w:color="auto" w:fill="ffffff"/>
          <w:rtl w:val="0"/>
          <w:lang w:val="en-US"/>
        </w:rPr>
        <w:t>Appendix A: AI Use Case Request Form</w:t>
      </w:r>
    </w:p>
    <w:p>
      <w:pPr>
        <w:pStyle w:val="Heading 2"/>
        <w:bidi w:val="0"/>
        <w:rPr>
          <w:rStyle w:val="None"/>
          <w:shd w:val="clear" w:color="auto" w:fill="ffffff"/>
        </w:rPr>
      </w:pPr>
      <w:r>
        <w:rPr>
          <w:rStyle w:val="None"/>
          <w:shd w:val="clear" w:color="auto" w:fill="ffffff"/>
          <w:rtl w:val="0"/>
          <w:lang w:val="en-US"/>
        </w:rPr>
        <w:t>AI Use Case Request</w:t>
      </w:r>
    </w:p>
    <w:p>
      <w:pPr>
        <w:pStyle w:val="Heading 3"/>
        <w:bidi w:val="0"/>
        <w:rPr>
          <w:rStyle w:val="None"/>
          <w:shd w:val="clear" w:color="auto" w:fill="ffffff"/>
        </w:rPr>
      </w:pPr>
      <w:r>
        <w:rPr>
          <w:rStyle w:val="None"/>
          <w:shd w:val="clear" w:color="auto" w:fill="ffffff"/>
          <w:rtl w:val="0"/>
          <w:lang w:val="it-IT"/>
        </w:rPr>
        <w:t>Requestor Information:</w:t>
      </w:r>
    </w:p>
    <w:p>
      <w:pPr>
        <w:pStyle w:val="Body"/>
        <w:numPr>
          <w:ilvl w:val="0"/>
          <w:numId w:val="4"/>
        </w:numPr>
        <w:bidi w:val="0"/>
      </w:pPr>
      <w:r>
        <w:rPr>
          <w:rStyle w:val="None"/>
          <w:shd w:val="clear" w:color="auto" w:fill="ffffff"/>
          <w:rtl w:val="0"/>
          <w:lang w:val="de-DE"/>
        </w:rPr>
        <w:t>Name:</w:t>
      </w:r>
    </w:p>
    <w:p>
      <w:pPr>
        <w:pStyle w:val="Body"/>
        <w:numPr>
          <w:ilvl w:val="0"/>
          <w:numId w:val="4"/>
        </w:numPr>
        <w:bidi w:val="0"/>
      </w:pPr>
      <w:r>
        <w:rPr>
          <w:rStyle w:val="None"/>
          <w:shd w:val="clear" w:color="auto" w:fill="ffffff"/>
          <w:rtl w:val="0"/>
          <w:lang w:val="en-US"/>
        </w:rPr>
        <w:t>Department:</w:t>
      </w:r>
    </w:p>
    <w:p>
      <w:pPr>
        <w:pStyle w:val="Body"/>
        <w:numPr>
          <w:ilvl w:val="0"/>
          <w:numId w:val="4"/>
        </w:numPr>
        <w:bidi w:val="0"/>
      </w:pPr>
      <w:r>
        <w:rPr>
          <w:rStyle w:val="None"/>
          <w:shd w:val="clear" w:color="auto" w:fill="ffffff"/>
          <w:rtl w:val="0"/>
          <w:lang w:val="it-IT"/>
        </w:rPr>
        <w:t>Role:</w:t>
      </w:r>
    </w:p>
    <w:p>
      <w:pPr>
        <w:pStyle w:val="Body"/>
        <w:numPr>
          <w:ilvl w:val="0"/>
          <w:numId w:val="4"/>
        </w:numPr>
        <w:bidi w:val="0"/>
      </w:pPr>
      <w:r>
        <w:rPr>
          <w:rStyle w:val="None"/>
          <w:shd w:val="clear" w:color="auto" w:fill="ffffff"/>
          <w:rtl w:val="0"/>
          <w:lang w:val="en-US"/>
        </w:rPr>
        <w:t>Date of Request:</w:t>
      </w:r>
    </w:p>
    <w:p>
      <w:pPr>
        <w:pStyle w:val="Heading 3"/>
        <w:bidi w:val="0"/>
        <w:rPr>
          <w:rStyle w:val="None"/>
          <w:shd w:val="clear" w:color="auto" w:fill="ffffff"/>
        </w:rPr>
      </w:pPr>
      <w:r>
        <w:rPr>
          <w:rStyle w:val="None"/>
          <w:shd w:val="clear" w:color="auto" w:fill="ffffff"/>
          <w:rtl w:val="0"/>
          <w:lang w:val="en-US"/>
        </w:rPr>
        <w:t>AI System/Tool Information:</w:t>
      </w:r>
    </w:p>
    <w:p>
      <w:pPr>
        <w:pStyle w:val="Body"/>
        <w:numPr>
          <w:ilvl w:val="0"/>
          <w:numId w:val="4"/>
        </w:numPr>
        <w:bidi w:val="0"/>
      </w:pPr>
      <w:r>
        <w:rPr>
          <w:rStyle w:val="None"/>
          <w:shd w:val="clear" w:color="auto" w:fill="ffffff"/>
          <w:rtl w:val="0"/>
          <w:lang w:val="en-US"/>
        </w:rPr>
        <w:t>Name of AI System/Tool:</w:t>
      </w:r>
    </w:p>
    <w:p>
      <w:pPr>
        <w:pStyle w:val="Body"/>
        <w:numPr>
          <w:ilvl w:val="0"/>
          <w:numId w:val="4"/>
        </w:numPr>
        <w:bidi w:val="0"/>
      </w:pPr>
      <w:r>
        <w:rPr>
          <w:rStyle w:val="None"/>
          <w:shd w:val="clear" w:color="auto" w:fill="ffffff"/>
          <w:rtl w:val="0"/>
          <w:lang w:val="en-US"/>
        </w:rPr>
        <w:t>Provider/Vendor (if applicable):</w:t>
      </w:r>
    </w:p>
    <w:p>
      <w:pPr>
        <w:pStyle w:val="Body"/>
        <w:numPr>
          <w:ilvl w:val="0"/>
          <w:numId w:val="4"/>
        </w:numPr>
        <w:bidi w:val="0"/>
      </w:pPr>
      <w:r>
        <w:rPr>
          <w:rStyle w:val="None"/>
          <w:shd w:val="clear" w:color="auto" w:fill="ffffff"/>
          <w:rtl w:val="0"/>
        </w:rPr>
        <w:t>Type:</w:t>
      </w:r>
    </w:p>
    <w:p>
      <w:pPr>
        <w:pStyle w:val="Body"/>
        <w:bidi w:val="0"/>
        <w:ind w:left="720"/>
        <w:rPr>
          <w:rStyle w:val="None"/>
          <w:shd w:val="clear" w:color="auto" w:fill="ffffff"/>
        </w:rPr>
      </w:pPr>
      <w:r>
        <w:rPr>
          <w:rStyle w:val="None"/>
          <w:rFonts w:ascii="Arial Unicode MS" w:cs="Arial Unicode MS" w:hAnsi="Arial Unicode MS" w:eastAsia="Arial Unicode MS" w:hint="default"/>
          <w:b w:val="0"/>
          <w:bCs w:val="0"/>
          <w:i w:val="0"/>
          <w:iCs w:val="0"/>
          <w:shd w:val="clear" w:color="auto" w:fill="ffffff"/>
          <w:rtl w:val="0"/>
        </w:rPr>
        <w:t>□</w:t>
      </w:r>
      <w:r>
        <w:rPr>
          <w:rStyle w:val="None"/>
          <w:shd w:val="clear" w:color="auto" w:fill="ffffff"/>
          <w:rtl w:val="0"/>
        </w:rPr>
        <w:t xml:space="preserve"> </w:t>
      </w:r>
      <w:r>
        <w:rPr>
          <w:rStyle w:val="None"/>
          <w:shd w:val="clear" w:color="auto" w:fill="ffffff"/>
          <w:rtl w:val="0"/>
        </w:rPr>
        <w:t>Public AI Platform (e.g., ChatGPT, Claude)</w:t>
      </w:r>
      <w:r>
        <w:rPr>
          <w:rStyle w:val="None"/>
          <w:shd w:val="clear" w:color="auto" w:fill="ffffff"/>
        </w:rPr>
        <w:br w:type="textWrapping"/>
      </w:r>
      <w:r>
        <w:rPr>
          <w:rStyle w:val="None"/>
          <w:rFonts w:ascii="Arial Unicode MS" w:cs="Arial Unicode MS" w:hAnsi="Arial Unicode MS" w:eastAsia="Arial Unicode MS" w:hint="default"/>
          <w:b w:val="0"/>
          <w:bCs w:val="0"/>
          <w:i w:val="0"/>
          <w:iCs w:val="0"/>
          <w:shd w:val="clear" w:color="auto" w:fill="ffffff"/>
          <w:rtl w:val="0"/>
        </w:rPr>
        <w:t>□</w:t>
      </w:r>
      <w:r>
        <w:rPr>
          <w:rStyle w:val="None"/>
          <w:shd w:val="clear" w:color="auto" w:fill="ffffff"/>
          <w:rtl w:val="0"/>
        </w:rPr>
        <w:t xml:space="preserve"> </w:t>
      </w:r>
      <w:r>
        <w:rPr>
          <w:rStyle w:val="None"/>
          <w:shd w:val="clear" w:color="auto" w:fill="ffffff"/>
          <w:rtl w:val="0"/>
          <w:lang w:val="en-US"/>
        </w:rPr>
        <w:t>Private AI Implementation</w:t>
      </w:r>
      <w:r>
        <w:rPr>
          <w:rStyle w:val="None"/>
          <w:shd w:val="clear" w:color="auto" w:fill="ffffff"/>
        </w:rPr>
        <w:br w:type="textWrapping"/>
      </w:r>
      <w:r>
        <w:rPr>
          <w:rStyle w:val="None"/>
          <w:rFonts w:ascii="Arial Unicode MS" w:cs="Arial Unicode MS" w:hAnsi="Arial Unicode MS" w:eastAsia="Arial Unicode MS" w:hint="default"/>
          <w:b w:val="0"/>
          <w:bCs w:val="0"/>
          <w:i w:val="0"/>
          <w:iCs w:val="0"/>
          <w:shd w:val="clear" w:color="auto" w:fill="ffffff"/>
          <w:rtl w:val="0"/>
        </w:rPr>
        <w:t>□</w:t>
      </w:r>
      <w:r>
        <w:rPr>
          <w:rStyle w:val="None"/>
          <w:shd w:val="clear" w:color="auto" w:fill="ffffff"/>
          <w:rtl w:val="0"/>
        </w:rPr>
        <w:t xml:space="preserve"> </w:t>
      </w:r>
      <w:r>
        <w:rPr>
          <w:rStyle w:val="None"/>
          <w:shd w:val="clear" w:color="auto" w:fill="ffffff"/>
          <w:rtl w:val="0"/>
          <w:lang w:val="en-US"/>
        </w:rPr>
        <w:t>Custom-developed Solution</w:t>
      </w:r>
      <w:r>
        <w:rPr>
          <w:rStyle w:val="None"/>
          <w:shd w:val="clear" w:color="auto" w:fill="ffffff"/>
        </w:rPr>
        <w:br w:type="textWrapping"/>
      </w:r>
      <w:r>
        <w:rPr>
          <w:rStyle w:val="None"/>
          <w:rFonts w:ascii="Arial Unicode MS" w:cs="Arial Unicode MS" w:hAnsi="Arial Unicode MS" w:eastAsia="Arial Unicode MS" w:hint="default"/>
          <w:b w:val="0"/>
          <w:bCs w:val="0"/>
          <w:i w:val="0"/>
          <w:iCs w:val="0"/>
          <w:shd w:val="clear" w:color="auto" w:fill="ffffff"/>
          <w:rtl w:val="0"/>
        </w:rPr>
        <w:t>□</w:t>
      </w:r>
      <w:r>
        <w:rPr>
          <w:rStyle w:val="None"/>
          <w:shd w:val="clear" w:color="auto" w:fill="ffffff"/>
          <w:rtl w:val="0"/>
        </w:rPr>
        <w:t xml:space="preserve"> </w:t>
      </w:r>
      <w:r>
        <w:rPr>
          <w:rStyle w:val="None"/>
          <w:shd w:val="clear" w:color="auto" w:fill="ffffff"/>
          <w:rtl w:val="0"/>
          <w:lang w:val="en-US"/>
        </w:rPr>
        <w:t>Vendor Product with AI Features</w:t>
      </w:r>
    </w:p>
    <w:p>
      <w:pPr>
        <w:pStyle w:val="Heading 3"/>
        <w:bidi w:val="0"/>
        <w:rPr>
          <w:rStyle w:val="None"/>
          <w:shd w:val="clear" w:color="auto" w:fill="ffffff"/>
        </w:rPr>
      </w:pPr>
      <w:r>
        <w:rPr>
          <w:rStyle w:val="None"/>
          <w:shd w:val="clear" w:color="auto" w:fill="ffffff"/>
          <w:rtl w:val="0"/>
          <w:lang w:val="en-US"/>
        </w:rPr>
        <w:t>Use Case Description:</w:t>
      </w:r>
    </w:p>
    <w:p>
      <w:pPr>
        <w:pStyle w:val="Body"/>
        <w:numPr>
          <w:ilvl w:val="0"/>
          <w:numId w:val="4"/>
        </w:numPr>
        <w:bidi w:val="0"/>
      </w:pPr>
      <w:r>
        <w:rPr>
          <w:rStyle w:val="None"/>
          <w:shd w:val="clear" w:color="auto" w:fill="ffffff"/>
          <w:rtl w:val="0"/>
          <w:lang w:val="en-US"/>
        </w:rPr>
        <w:t>Purpose of AI system (describe the business need):</w:t>
      </w:r>
    </w:p>
    <w:p>
      <w:pPr>
        <w:pStyle w:val="Body"/>
        <w:numPr>
          <w:ilvl w:val="0"/>
          <w:numId w:val="4"/>
        </w:numPr>
        <w:bidi w:val="0"/>
      </w:pPr>
      <w:r>
        <w:rPr>
          <w:rStyle w:val="None"/>
          <w:shd w:val="clear" w:color="auto" w:fill="ffffff"/>
          <w:rtl w:val="0"/>
          <w:lang w:val="en-US"/>
        </w:rPr>
        <w:t>Primary functions and capabilities:</w:t>
      </w:r>
    </w:p>
    <w:p>
      <w:pPr>
        <w:pStyle w:val="Body"/>
        <w:numPr>
          <w:ilvl w:val="0"/>
          <w:numId w:val="4"/>
        </w:numPr>
        <w:bidi w:val="0"/>
      </w:pPr>
      <w:r>
        <w:rPr>
          <w:rStyle w:val="None"/>
          <w:shd w:val="clear" w:color="auto" w:fill="ffffff"/>
          <w:rtl w:val="0"/>
          <w:lang w:val="en-US"/>
        </w:rPr>
        <w:t>Anticipated users/departments:</w:t>
      </w:r>
    </w:p>
    <w:p>
      <w:pPr>
        <w:pStyle w:val="Body"/>
        <w:numPr>
          <w:ilvl w:val="0"/>
          <w:numId w:val="4"/>
        </w:numPr>
        <w:bidi w:val="0"/>
      </w:pPr>
      <w:r>
        <w:rPr>
          <w:rStyle w:val="None"/>
          <w:shd w:val="clear" w:color="auto" w:fill="ffffff"/>
          <w:rtl w:val="0"/>
          <w:lang w:val="en-US"/>
        </w:rPr>
        <w:t>Expected benefits:</w:t>
      </w:r>
    </w:p>
    <w:p>
      <w:pPr>
        <w:pStyle w:val="Body"/>
        <w:numPr>
          <w:ilvl w:val="0"/>
          <w:numId w:val="4"/>
        </w:numPr>
        <w:bidi w:val="0"/>
      </w:pPr>
      <w:r>
        <w:rPr>
          <w:rStyle w:val="None"/>
          <w:shd w:val="clear" w:color="auto" w:fill="ffffff"/>
          <w:rtl w:val="0"/>
          <w:lang w:val="en-US"/>
        </w:rPr>
        <w:t>Success metrics:</w:t>
      </w:r>
    </w:p>
    <w:p>
      <w:pPr>
        <w:pStyle w:val="Heading 3"/>
        <w:bidi w:val="0"/>
        <w:rPr>
          <w:rStyle w:val="None"/>
          <w:shd w:val="clear" w:color="auto" w:fill="ffffff"/>
        </w:rPr>
      </w:pPr>
      <w:r>
        <w:rPr>
          <w:rStyle w:val="None"/>
          <w:shd w:val="clear" w:color="auto" w:fill="ffffff"/>
          <w:rtl w:val="0"/>
          <w:lang w:val="en-US"/>
        </w:rPr>
        <w:t>Data Considerations:</w:t>
      </w:r>
    </w:p>
    <w:p>
      <w:pPr>
        <w:pStyle w:val="Body"/>
        <w:numPr>
          <w:ilvl w:val="0"/>
          <w:numId w:val="4"/>
        </w:numPr>
        <w:bidi w:val="0"/>
      </w:pPr>
      <w:r>
        <w:rPr>
          <w:rStyle w:val="None"/>
          <w:shd w:val="clear" w:color="auto" w:fill="ffffff"/>
          <w:rtl w:val="0"/>
          <w:lang w:val="en-US"/>
        </w:rPr>
        <w:t>Types of data the AI system will access:</w:t>
      </w:r>
    </w:p>
    <w:p>
      <w:pPr>
        <w:pStyle w:val="Body"/>
        <w:bidi w:val="0"/>
        <w:ind w:left="720"/>
        <w:rPr>
          <w:rStyle w:val="None"/>
          <w:shd w:val="clear" w:color="auto" w:fill="ffffff"/>
        </w:rPr>
      </w:pPr>
      <w:r>
        <w:rPr>
          <w:rStyle w:val="None"/>
          <w:rFonts w:ascii="Arial Unicode MS" w:cs="Arial Unicode MS" w:hAnsi="Arial Unicode MS" w:eastAsia="Arial Unicode MS" w:hint="default"/>
          <w:b w:val="0"/>
          <w:bCs w:val="0"/>
          <w:i w:val="0"/>
          <w:iCs w:val="0"/>
          <w:shd w:val="clear" w:color="auto" w:fill="ffffff"/>
          <w:rtl w:val="0"/>
        </w:rPr>
        <w:t>□</w:t>
      </w:r>
      <w:r>
        <w:rPr>
          <w:rStyle w:val="None"/>
          <w:shd w:val="clear" w:color="auto" w:fill="ffffff"/>
          <w:rtl w:val="0"/>
        </w:rPr>
        <w:t xml:space="preserve"> </w:t>
      </w:r>
      <w:r>
        <w:rPr>
          <w:rStyle w:val="None"/>
          <w:shd w:val="clear" w:color="auto" w:fill="ffffff"/>
          <w:rtl w:val="0"/>
          <w:lang w:val="fr-FR"/>
        </w:rPr>
        <w:t>Public domain information</w:t>
      </w:r>
      <w:r>
        <w:rPr>
          <w:rStyle w:val="None"/>
          <w:shd w:val="clear" w:color="auto" w:fill="ffffff"/>
        </w:rPr>
        <w:br w:type="textWrapping"/>
      </w:r>
      <w:r>
        <w:rPr>
          <w:rStyle w:val="None"/>
          <w:rFonts w:ascii="Arial Unicode MS" w:cs="Arial Unicode MS" w:hAnsi="Arial Unicode MS" w:eastAsia="Arial Unicode MS" w:hint="default"/>
          <w:b w:val="0"/>
          <w:bCs w:val="0"/>
          <w:i w:val="0"/>
          <w:iCs w:val="0"/>
          <w:shd w:val="clear" w:color="auto" w:fill="ffffff"/>
          <w:rtl w:val="0"/>
        </w:rPr>
        <w:t>□</w:t>
      </w:r>
      <w:r>
        <w:rPr>
          <w:rStyle w:val="None"/>
          <w:shd w:val="clear" w:color="auto" w:fill="ffffff"/>
          <w:rtl w:val="0"/>
        </w:rPr>
        <w:t xml:space="preserve"> </w:t>
      </w:r>
      <w:r>
        <w:rPr>
          <w:rStyle w:val="None"/>
          <w:shd w:val="clear" w:color="auto" w:fill="ffffff"/>
          <w:rtl w:val="0"/>
          <w:lang w:val="fr-FR"/>
        </w:rPr>
        <w:t>Internal non-sensitive data</w:t>
      </w:r>
      <w:r>
        <w:rPr>
          <w:rStyle w:val="None"/>
          <w:shd w:val="clear" w:color="auto" w:fill="ffffff"/>
        </w:rPr>
        <w:br w:type="textWrapping"/>
      </w:r>
      <w:r>
        <w:rPr>
          <w:rStyle w:val="None"/>
          <w:rFonts w:ascii="Arial Unicode MS" w:cs="Arial Unicode MS" w:hAnsi="Arial Unicode MS" w:eastAsia="Arial Unicode MS" w:hint="default"/>
          <w:b w:val="0"/>
          <w:bCs w:val="0"/>
          <w:i w:val="0"/>
          <w:iCs w:val="0"/>
          <w:shd w:val="clear" w:color="auto" w:fill="ffffff"/>
          <w:rtl w:val="0"/>
        </w:rPr>
        <w:t>□</w:t>
      </w:r>
      <w:r>
        <w:rPr>
          <w:rStyle w:val="None"/>
          <w:shd w:val="clear" w:color="auto" w:fill="ffffff"/>
          <w:rtl w:val="0"/>
        </w:rPr>
        <w:t xml:space="preserve"> </w:t>
      </w:r>
      <w:r>
        <w:rPr>
          <w:rStyle w:val="None"/>
          <w:shd w:val="clear" w:color="auto" w:fill="ffffff"/>
          <w:rtl w:val="0"/>
          <w:lang w:val="en-US"/>
        </w:rPr>
        <w:t>Confidential business information</w:t>
      </w:r>
      <w:r>
        <w:rPr>
          <w:rStyle w:val="None"/>
          <w:shd w:val="clear" w:color="auto" w:fill="ffffff"/>
        </w:rPr>
        <w:br w:type="textWrapping"/>
      </w:r>
      <w:r>
        <w:rPr>
          <w:rStyle w:val="None"/>
          <w:rFonts w:ascii="Arial Unicode MS" w:cs="Arial Unicode MS" w:hAnsi="Arial Unicode MS" w:eastAsia="Arial Unicode MS" w:hint="default"/>
          <w:b w:val="0"/>
          <w:bCs w:val="0"/>
          <w:i w:val="0"/>
          <w:iCs w:val="0"/>
          <w:shd w:val="clear" w:color="auto" w:fill="ffffff"/>
          <w:rtl w:val="0"/>
        </w:rPr>
        <w:t>□</w:t>
      </w:r>
      <w:r>
        <w:rPr>
          <w:rStyle w:val="None"/>
          <w:shd w:val="clear" w:color="auto" w:fill="ffffff"/>
          <w:rtl w:val="0"/>
        </w:rPr>
        <w:t xml:space="preserve"> </w:t>
      </w:r>
      <w:r>
        <w:rPr>
          <w:rStyle w:val="None"/>
          <w:shd w:val="clear" w:color="auto" w:fill="ffffff"/>
          <w:rtl w:val="0"/>
          <w:lang w:val="it-IT"/>
        </w:rPr>
        <w:t>Personal data (staff)</w:t>
      </w:r>
      <w:r>
        <w:rPr>
          <w:rStyle w:val="None"/>
          <w:shd w:val="clear" w:color="auto" w:fill="ffffff"/>
        </w:rPr>
        <w:br w:type="textWrapping"/>
      </w:r>
      <w:r>
        <w:rPr>
          <w:rStyle w:val="None"/>
          <w:rFonts w:ascii="Arial Unicode MS" w:cs="Arial Unicode MS" w:hAnsi="Arial Unicode MS" w:eastAsia="Arial Unicode MS" w:hint="default"/>
          <w:b w:val="0"/>
          <w:bCs w:val="0"/>
          <w:i w:val="0"/>
          <w:iCs w:val="0"/>
          <w:shd w:val="clear" w:color="auto" w:fill="ffffff"/>
          <w:rtl w:val="0"/>
        </w:rPr>
        <w:t>□</w:t>
      </w:r>
      <w:r>
        <w:rPr>
          <w:rStyle w:val="None"/>
          <w:shd w:val="clear" w:color="auto" w:fill="ffffff"/>
          <w:rtl w:val="0"/>
        </w:rPr>
        <w:t xml:space="preserve"> </w:t>
      </w:r>
      <w:r>
        <w:rPr>
          <w:rStyle w:val="None"/>
          <w:shd w:val="clear" w:color="auto" w:fill="ffffff"/>
          <w:rtl w:val="0"/>
          <w:lang w:val="en-US"/>
        </w:rPr>
        <w:t>Personal data (customers/clients)</w:t>
      </w:r>
      <w:r>
        <w:rPr>
          <w:rStyle w:val="None"/>
          <w:shd w:val="clear" w:color="auto" w:fill="ffffff"/>
        </w:rPr>
        <w:br w:type="textWrapping"/>
      </w:r>
      <w:r>
        <w:rPr>
          <w:rStyle w:val="None"/>
          <w:rFonts w:ascii="Arial Unicode MS" w:cs="Arial Unicode MS" w:hAnsi="Arial Unicode MS" w:eastAsia="Arial Unicode MS" w:hint="default"/>
          <w:b w:val="0"/>
          <w:bCs w:val="0"/>
          <w:i w:val="0"/>
          <w:iCs w:val="0"/>
          <w:shd w:val="clear" w:color="auto" w:fill="ffffff"/>
          <w:rtl w:val="0"/>
        </w:rPr>
        <w:t>□</w:t>
      </w:r>
      <w:r>
        <w:rPr>
          <w:rStyle w:val="None"/>
          <w:shd w:val="clear" w:color="auto" w:fill="ffffff"/>
          <w:rtl w:val="0"/>
        </w:rPr>
        <w:t xml:space="preserve"> </w:t>
      </w:r>
      <w:r>
        <w:rPr>
          <w:rStyle w:val="None"/>
          <w:shd w:val="clear" w:color="auto" w:fill="ffffff"/>
          <w:rtl w:val="0"/>
          <w:lang w:val="en-US"/>
        </w:rPr>
        <w:t>Special category personal data (health, biometric, etc.)</w:t>
      </w:r>
    </w:p>
    <w:p>
      <w:pPr>
        <w:pStyle w:val="Body"/>
        <w:numPr>
          <w:ilvl w:val="0"/>
          <w:numId w:val="4"/>
        </w:numPr>
        <w:bidi w:val="0"/>
      </w:pPr>
      <w:r>
        <w:rPr>
          <w:rStyle w:val="None"/>
          <w:shd w:val="clear" w:color="auto" w:fill="ffffff"/>
          <w:rtl w:val="0"/>
          <w:lang w:val="en-US"/>
        </w:rPr>
        <w:t>Data storage location:</w:t>
      </w:r>
    </w:p>
    <w:p>
      <w:pPr>
        <w:pStyle w:val="Body"/>
        <w:numPr>
          <w:ilvl w:val="0"/>
          <w:numId w:val="4"/>
        </w:numPr>
        <w:bidi w:val="0"/>
      </w:pPr>
      <w:r>
        <w:rPr>
          <w:rStyle w:val="None"/>
          <w:shd w:val="clear" w:color="auto" w:fill="ffffff"/>
          <w:rtl w:val="0"/>
          <w:lang w:val="en-US"/>
        </w:rPr>
        <w:t>Data retention period:</w:t>
      </w:r>
    </w:p>
    <w:p>
      <w:pPr>
        <w:pStyle w:val="Body"/>
        <w:numPr>
          <w:ilvl w:val="0"/>
          <w:numId w:val="4"/>
        </w:numPr>
        <w:bidi w:val="0"/>
      </w:pPr>
      <w:r>
        <w:rPr>
          <w:rStyle w:val="None"/>
          <w:shd w:val="clear" w:color="auto" w:fill="ffffff"/>
          <w:rtl w:val="0"/>
          <w:lang w:val="en-US"/>
        </w:rPr>
        <w:t>Data security measures:</w:t>
      </w:r>
    </w:p>
    <w:p>
      <w:pPr>
        <w:pStyle w:val="Heading 3"/>
        <w:bidi w:val="0"/>
        <w:rPr>
          <w:rStyle w:val="None"/>
          <w:shd w:val="clear" w:color="auto" w:fill="ffffff"/>
        </w:rPr>
      </w:pPr>
      <w:r>
        <w:rPr>
          <w:rStyle w:val="None"/>
          <w:shd w:val="clear" w:color="auto" w:fill="ffffff"/>
          <w:rtl w:val="0"/>
          <w:lang w:val="en-US"/>
        </w:rPr>
        <w:t>Risk Assessment (Preliminary):</w:t>
      </w:r>
    </w:p>
    <w:p>
      <w:pPr>
        <w:pStyle w:val="Body"/>
        <w:numPr>
          <w:ilvl w:val="0"/>
          <w:numId w:val="4"/>
        </w:numPr>
        <w:bidi w:val="0"/>
      </w:pPr>
      <w:r>
        <w:rPr>
          <w:rStyle w:val="None"/>
          <w:shd w:val="clear" w:color="auto" w:fill="ffffff"/>
          <w:rtl w:val="0"/>
          <w:lang w:val="en-US"/>
        </w:rPr>
        <w:t>Potential privacy impacts:</w:t>
      </w:r>
    </w:p>
    <w:p>
      <w:pPr>
        <w:pStyle w:val="Body"/>
        <w:numPr>
          <w:ilvl w:val="0"/>
          <w:numId w:val="4"/>
        </w:numPr>
        <w:bidi w:val="0"/>
      </w:pPr>
      <w:r>
        <w:rPr>
          <w:rStyle w:val="None"/>
          <w:shd w:val="clear" w:color="auto" w:fill="ffffff"/>
          <w:rtl w:val="0"/>
          <w:lang w:val="en-US"/>
        </w:rPr>
        <w:t>Potential security concerns:</w:t>
      </w:r>
    </w:p>
    <w:p>
      <w:pPr>
        <w:pStyle w:val="Body"/>
        <w:numPr>
          <w:ilvl w:val="0"/>
          <w:numId w:val="4"/>
        </w:numPr>
        <w:bidi w:val="0"/>
      </w:pPr>
      <w:r>
        <w:rPr>
          <w:rStyle w:val="None"/>
          <w:shd w:val="clear" w:color="auto" w:fill="ffffff"/>
          <w:rtl w:val="0"/>
          <w:lang w:val="en-US"/>
        </w:rPr>
        <w:t>Potential operational risks:</w:t>
      </w:r>
    </w:p>
    <w:p>
      <w:pPr>
        <w:pStyle w:val="Body"/>
        <w:numPr>
          <w:ilvl w:val="0"/>
          <w:numId w:val="4"/>
        </w:numPr>
        <w:bidi w:val="0"/>
      </w:pPr>
      <w:r>
        <w:rPr>
          <w:rStyle w:val="None"/>
          <w:shd w:val="clear" w:color="auto" w:fill="ffffff"/>
          <w:rtl w:val="0"/>
          <w:lang w:val="en-US"/>
        </w:rPr>
        <w:t>Potential ethical considerations:</w:t>
      </w:r>
    </w:p>
    <w:p>
      <w:pPr>
        <w:pStyle w:val="Body"/>
        <w:numPr>
          <w:ilvl w:val="0"/>
          <w:numId w:val="4"/>
        </w:numPr>
        <w:bidi w:val="0"/>
      </w:pPr>
      <w:r>
        <w:rPr>
          <w:rStyle w:val="None"/>
          <w:shd w:val="clear" w:color="auto" w:fill="ffffff"/>
          <w:rtl w:val="0"/>
          <w:lang w:val="en-US"/>
        </w:rPr>
        <w:t>Proposed risk mitigation measures:</w:t>
      </w:r>
    </w:p>
    <w:p>
      <w:pPr>
        <w:pStyle w:val="Heading 3"/>
        <w:bidi w:val="0"/>
        <w:rPr>
          <w:rStyle w:val="None"/>
          <w:shd w:val="clear" w:color="auto" w:fill="ffffff"/>
        </w:rPr>
      </w:pPr>
      <w:r>
        <w:rPr>
          <w:rStyle w:val="None"/>
          <w:shd w:val="clear" w:color="auto" w:fill="ffffff"/>
          <w:rtl w:val="0"/>
          <w:lang w:val="en-US"/>
        </w:rPr>
        <w:t>Implementation Requirements:</w:t>
      </w:r>
    </w:p>
    <w:p>
      <w:pPr>
        <w:pStyle w:val="Body"/>
        <w:numPr>
          <w:ilvl w:val="0"/>
          <w:numId w:val="4"/>
        </w:numPr>
        <w:bidi w:val="0"/>
      </w:pPr>
      <w:r>
        <w:rPr>
          <w:rStyle w:val="None"/>
          <w:shd w:val="clear" w:color="auto" w:fill="ffffff"/>
          <w:rtl w:val="0"/>
          <w:lang w:val="en-US"/>
        </w:rPr>
        <w:t>Integration needs:</w:t>
      </w:r>
    </w:p>
    <w:p>
      <w:pPr>
        <w:pStyle w:val="Body"/>
        <w:numPr>
          <w:ilvl w:val="0"/>
          <w:numId w:val="4"/>
        </w:numPr>
        <w:bidi w:val="0"/>
      </w:pPr>
      <w:r>
        <w:rPr>
          <w:rStyle w:val="None"/>
          <w:shd w:val="clear" w:color="auto" w:fill="ffffff"/>
          <w:rtl w:val="0"/>
          <w:lang w:val="en-US"/>
        </w:rPr>
        <w:t>Training requirements:</w:t>
      </w:r>
    </w:p>
    <w:p>
      <w:pPr>
        <w:pStyle w:val="Body"/>
        <w:numPr>
          <w:ilvl w:val="0"/>
          <w:numId w:val="4"/>
        </w:numPr>
        <w:bidi w:val="0"/>
      </w:pPr>
      <w:r>
        <w:rPr>
          <w:rStyle w:val="None"/>
          <w:shd w:val="clear" w:color="auto" w:fill="ffffff"/>
          <w:rtl w:val="0"/>
          <w:lang w:val="en-US"/>
        </w:rPr>
        <w:t>Timeline for implementation:</w:t>
      </w:r>
    </w:p>
    <w:p>
      <w:pPr>
        <w:pStyle w:val="Body"/>
        <w:numPr>
          <w:ilvl w:val="0"/>
          <w:numId w:val="4"/>
        </w:numPr>
        <w:bidi w:val="0"/>
      </w:pPr>
      <w:r>
        <w:rPr>
          <w:rStyle w:val="None"/>
          <w:shd w:val="clear" w:color="auto" w:fill="ffffff"/>
          <w:rtl w:val="0"/>
          <w:lang w:val="en-US"/>
        </w:rPr>
        <w:t>Resources required:</w:t>
      </w:r>
    </w:p>
    <w:p>
      <w:pPr>
        <w:pStyle w:val="Body"/>
        <w:numPr>
          <w:ilvl w:val="0"/>
          <w:numId w:val="4"/>
        </w:numPr>
        <w:bidi w:val="0"/>
      </w:pPr>
      <w:r>
        <w:rPr>
          <w:rStyle w:val="None"/>
          <w:shd w:val="clear" w:color="auto" w:fill="ffffff"/>
          <w:rtl w:val="0"/>
          <w:lang w:val="en-US"/>
        </w:rPr>
        <w:t>Budget considerations:</w:t>
      </w:r>
    </w:p>
    <w:p>
      <w:pPr>
        <w:pStyle w:val="Heading 3"/>
        <w:bidi w:val="0"/>
        <w:rPr>
          <w:rStyle w:val="None"/>
          <w:shd w:val="clear" w:color="auto" w:fill="ffffff"/>
        </w:rPr>
      </w:pPr>
      <w:r>
        <w:rPr>
          <w:rStyle w:val="None"/>
          <w:shd w:val="clear" w:color="auto" w:fill="ffffff"/>
          <w:rtl w:val="0"/>
          <w:lang w:val="de-DE"/>
        </w:rPr>
        <w:t>Alternative Solutions:</w:t>
      </w:r>
    </w:p>
    <w:p>
      <w:pPr>
        <w:pStyle w:val="Body"/>
        <w:numPr>
          <w:ilvl w:val="0"/>
          <w:numId w:val="4"/>
        </w:numPr>
        <w:bidi w:val="0"/>
      </w:pPr>
      <w:r>
        <w:rPr>
          <w:rStyle w:val="None"/>
          <w:shd w:val="clear" w:color="auto" w:fill="ffffff"/>
          <w:rtl w:val="0"/>
          <w:lang w:val="en-US"/>
        </w:rPr>
        <w:t>Non-AI alternatives considered:</w:t>
      </w:r>
    </w:p>
    <w:p>
      <w:pPr>
        <w:pStyle w:val="Body"/>
        <w:numPr>
          <w:ilvl w:val="0"/>
          <w:numId w:val="4"/>
        </w:numPr>
        <w:bidi w:val="0"/>
      </w:pPr>
      <w:r>
        <w:rPr>
          <w:rStyle w:val="None"/>
          <w:shd w:val="clear" w:color="auto" w:fill="ffffff"/>
          <w:rtl w:val="0"/>
          <w:lang w:val="en-US"/>
        </w:rPr>
        <w:t>Reasons for selecting AI approach:</w:t>
      </w:r>
    </w:p>
    <w:p>
      <w:pPr>
        <w:pStyle w:val="Heading 3"/>
        <w:bidi w:val="0"/>
        <w:rPr>
          <w:rStyle w:val="None"/>
          <w:shd w:val="clear" w:color="auto" w:fill="ffffff"/>
        </w:rPr>
      </w:pPr>
      <w:r>
        <w:rPr>
          <w:rStyle w:val="None"/>
          <w:shd w:val="clear" w:color="auto" w:fill="ffffff"/>
          <w:rtl w:val="0"/>
          <w:lang w:val="it-IT"/>
        </w:rPr>
        <w:t>Approvals:</w:t>
      </w:r>
    </w:p>
    <w:p>
      <w:pPr>
        <w:pStyle w:val="Body"/>
        <w:numPr>
          <w:ilvl w:val="0"/>
          <w:numId w:val="4"/>
        </w:numPr>
        <w:bidi w:val="0"/>
      </w:pPr>
      <w:r>
        <w:rPr>
          <w:rStyle w:val="None"/>
          <w:shd w:val="clear" w:color="auto" w:fill="ffffff"/>
          <w:rtl w:val="0"/>
          <w:lang w:val="en-US"/>
        </w:rPr>
        <w:t>Department Manager:</w:t>
      </w:r>
    </w:p>
    <w:p>
      <w:pPr>
        <w:pStyle w:val="Body"/>
        <w:numPr>
          <w:ilvl w:val="0"/>
          <w:numId w:val="4"/>
        </w:numPr>
        <w:bidi w:val="0"/>
      </w:pPr>
      <w:r>
        <w:rPr>
          <w:rStyle w:val="None"/>
          <w:shd w:val="clear" w:color="auto" w:fill="ffffff"/>
          <w:rtl w:val="0"/>
          <w:lang w:val="en-US"/>
        </w:rPr>
        <w:t>IT Security Review:</w:t>
      </w:r>
    </w:p>
    <w:p>
      <w:pPr>
        <w:pStyle w:val="Body"/>
        <w:numPr>
          <w:ilvl w:val="0"/>
          <w:numId w:val="4"/>
        </w:numPr>
        <w:bidi w:val="0"/>
      </w:pPr>
      <w:r>
        <w:rPr>
          <w:rStyle w:val="None"/>
          <w:shd w:val="clear" w:color="auto" w:fill="ffffff"/>
          <w:rtl w:val="0"/>
          <w:lang w:val="en-US"/>
        </w:rPr>
        <w:t>Data Protection Review:</w:t>
      </w:r>
    </w:p>
    <w:p>
      <w:pPr>
        <w:pStyle w:val="Body"/>
        <w:numPr>
          <w:ilvl w:val="0"/>
          <w:numId w:val="4"/>
        </w:numPr>
        <w:bidi w:val="0"/>
      </w:pPr>
      <w:r>
        <w:rPr>
          <w:rStyle w:val="None"/>
          <w:shd w:val="clear" w:color="auto" w:fill="ffffff"/>
          <w:rtl w:val="0"/>
          <w:lang w:val="en-US"/>
        </w:rPr>
        <w:t>AI Governance Committee Decision:</w:t>
      </w:r>
      <w:r>
        <w:rPr>
          <w:rStyle w:val="None"/>
          <w:shd w:val="clear" w:color="auto" w:fill="ffffff"/>
        </w:rPr>
        <w:br w:type="textWrapping"/>
      </w:r>
      <w:r>
        <w:rPr>
          <w:rStyle w:val="None"/>
          <w:rFonts w:ascii="Arial Unicode MS" w:cs="Arial Unicode MS" w:hAnsi="Arial Unicode MS" w:eastAsia="Arial Unicode MS" w:hint="default"/>
          <w:b w:val="0"/>
          <w:bCs w:val="0"/>
          <w:i w:val="0"/>
          <w:iCs w:val="0"/>
          <w:shd w:val="clear" w:color="auto" w:fill="ffffff"/>
          <w:rtl w:val="0"/>
        </w:rPr>
        <w:t>□</w:t>
      </w:r>
      <w:r>
        <w:rPr>
          <w:rStyle w:val="None"/>
          <w:shd w:val="clear" w:color="auto" w:fill="ffffff"/>
          <w:rtl w:val="0"/>
        </w:rPr>
        <w:t xml:space="preserve"> </w:t>
      </w:r>
      <w:r>
        <w:rPr>
          <w:rStyle w:val="None"/>
          <w:shd w:val="clear" w:color="auto" w:fill="ffffff"/>
          <w:rtl w:val="0"/>
          <w:lang w:val="en-US"/>
        </w:rPr>
        <w:t>Approved</w:t>
      </w:r>
      <w:r>
        <w:rPr>
          <w:rStyle w:val="None"/>
          <w:shd w:val="clear" w:color="auto" w:fill="ffffff"/>
        </w:rPr>
        <w:br w:type="textWrapping"/>
      </w:r>
      <w:r>
        <w:rPr>
          <w:rStyle w:val="None"/>
          <w:rFonts w:ascii="Arial Unicode MS" w:cs="Arial Unicode MS" w:hAnsi="Arial Unicode MS" w:eastAsia="Arial Unicode MS" w:hint="default"/>
          <w:b w:val="0"/>
          <w:bCs w:val="0"/>
          <w:i w:val="0"/>
          <w:iCs w:val="0"/>
          <w:shd w:val="clear" w:color="auto" w:fill="ffffff"/>
          <w:rtl w:val="0"/>
        </w:rPr>
        <w:t>□</w:t>
      </w:r>
      <w:r>
        <w:rPr>
          <w:rStyle w:val="None"/>
          <w:shd w:val="clear" w:color="auto" w:fill="ffffff"/>
          <w:rtl w:val="0"/>
        </w:rPr>
        <w:t xml:space="preserve"> </w:t>
      </w:r>
      <w:r>
        <w:rPr>
          <w:rStyle w:val="None"/>
          <w:shd w:val="clear" w:color="auto" w:fill="ffffff"/>
          <w:rtl w:val="0"/>
          <w:lang w:val="en-US"/>
        </w:rPr>
        <w:t>Approved with conditions</w:t>
      </w:r>
      <w:r>
        <w:rPr>
          <w:rStyle w:val="None"/>
          <w:shd w:val="clear" w:color="auto" w:fill="ffffff"/>
        </w:rPr>
        <w:br w:type="textWrapping"/>
      </w:r>
      <w:r>
        <w:rPr>
          <w:rStyle w:val="None"/>
          <w:rFonts w:ascii="Arial Unicode MS" w:cs="Arial Unicode MS" w:hAnsi="Arial Unicode MS" w:eastAsia="Arial Unicode MS" w:hint="default"/>
          <w:b w:val="0"/>
          <w:bCs w:val="0"/>
          <w:i w:val="0"/>
          <w:iCs w:val="0"/>
          <w:shd w:val="clear" w:color="auto" w:fill="ffffff"/>
          <w:rtl w:val="0"/>
        </w:rPr>
        <w:t>□</w:t>
      </w:r>
      <w:r>
        <w:rPr>
          <w:rStyle w:val="None"/>
          <w:shd w:val="clear" w:color="auto" w:fill="ffffff"/>
          <w:rtl w:val="0"/>
        </w:rPr>
        <w:t xml:space="preserve"> </w:t>
      </w:r>
      <w:r>
        <w:rPr>
          <w:rStyle w:val="None"/>
          <w:shd w:val="clear" w:color="auto" w:fill="ffffff"/>
          <w:rtl w:val="0"/>
          <w:lang w:val="en-US"/>
        </w:rPr>
        <w:t>Declined</w:t>
      </w:r>
      <w:r>
        <w:rPr>
          <w:rStyle w:val="None"/>
          <w:shd w:val="clear" w:color="auto" w:fill="ffffff"/>
        </w:rPr>
        <w:br w:type="textWrapping"/>
      </w:r>
      <w:r>
        <w:rPr>
          <w:rStyle w:val="None"/>
          <w:rFonts w:ascii="Arial Unicode MS" w:cs="Arial Unicode MS" w:hAnsi="Arial Unicode MS" w:eastAsia="Arial Unicode MS" w:hint="default"/>
          <w:b w:val="0"/>
          <w:bCs w:val="0"/>
          <w:i w:val="0"/>
          <w:iCs w:val="0"/>
          <w:shd w:val="clear" w:color="auto" w:fill="ffffff"/>
          <w:rtl w:val="0"/>
        </w:rPr>
        <w:t>□</w:t>
      </w:r>
      <w:r>
        <w:rPr>
          <w:rStyle w:val="None"/>
          <w:shd w:val="clear" w:color="auto" w:fill="ffffff"/>
          <w:rtl w:val="0"/>
        </w:rPr>
        <w:t xml:space="preserve"> </w:t>
      </w:r>
      <w:r>
        <w:rPr>
          <w:rStyle w:val="None"/>
          <w:shd w:val="clear" w:color="auto" w:fill="ffffff"/>
          <w:rtl w:val="0"/>
          <w:lang w:val="en-US"/>
        </w:rPr>
        <w:t>More information needed</w:t>
      </w:r>
    </w:p>
    <w:p>
      <w:pPr>
        <w:pStyle w:val="Body"/>
        <w:numPr>
          <w:ilvl w:val="0"/>
          <w:numId w:val="4"/>
        </w:numPr>
        <w:bidi w:val="0"/>
      </w:pPr>
      <w:r>
        <w:rPr>
          <w:rStyle w:val="None"/>
          <w:shd w:val="clear" w:color="auto" w:fill="ffffff"/>
          <w:rtl w:val="0"/>
          <w:lang w:val="en-US"/>
        </w:rPr>
        <w:t>Conditions/Comments:</w:t>
      </w:r>
    </w:p>
    <w:p>
      <w:pPr>
        <w:pStyle w:val="Default"/>
        <w:suppressAutoHyphens w:val="1"/>
        <w:spacing w:before="0" w:line="240" w:lineRule="auto"/>
        <w:jc w:val="left"/>
        <w:rPr>
          <w:outline w:val="0"/>
          <w:color w:val="7f7f7f"/>
          <w:sz w:val="32"/>
          <w:szCs w:val="32"/>
          <w:shd w:val="clear" w:color="auto" w:fill="e3e4e7"/>
          <w14:textFill>
            <w14:solidFill>
              <w14:srgbClr w14:val="808080"/>
            </w14:solidFill>
          </w14:textFill>
        </w:rPr>
      </w:pPr>
    </w:p>
    <w:p>
      <w:pPr>
        <w:pStyle w:val="Heading"/>
        <w:bidi w:val="0"/>
      </w:pPr>
      <w:r>
        <w:rPr>
          <w:rFonts w:ascii="Arial Unicode MS" w:cs="Arial Unicode MS" w:hAnsi="Arial Unicode MS" w:eastAsia="Arial Unicode MS"/>
          <w:b w:val="0"/>
          <w:bCs w:val="0"/>
          <w:i w:val="0"/>
          <w:iCs w:val="0"/>
        </w:rPr>
        <w:br w:type="page"/>
      </w:r>
    </w:p>
    <w:p>
      <w:pPr>
        <w:pStyle w:val="Heading"/>
        <w:bidi w:val="0"/>
        <w:rPr>
          <w:rStyle w:val="None"/>
          <w:shd w:val="clear" w:color="auto" w:fill="ffffff"/>
        </w:rPr>
      </w:pPr>
      <w:r>
        <w:rPr>
          <w:rStyle w:val="None"/>
          <w:shd w:val="clear" w:color="auto" w:fill="ffffff"/>
          <w:rtl w:val="0"/>
          <w:lang w:val="da-DK"/>
        </w:rPr>
        <w:t>Appendix B: AI Risk Assessment Template</w:t>
      </w:r>
    </w:p>
    <w:p>
      <w:pPr>
        <w:pStyle w:val="Heading 2"/>
        <w:bidi w:val="0"/>
        <w:rPr>
          <w:rStyle w:val="None"/>
          <w:shd w:val="clear" w:color="auto" w:fill="ffffff"/>
        </w:rPr>
      </w:pPr>
      <w:r>
        <w:rPr>
          <w:rStyle w:val="None"/>
          <w:shd w:val="clear" w:color="auto" w:fill="ffffff"/>
          <w:rtl w:val="0"/>
          <w:lang w:val="en-US"/>
        </w:rPr>
        <w:t>AI Risk Assessment</w:t>
      </w:r>
    </w:p>
    <w:p>
      <w:pPr>
        <w:pStyle w:val="Body Bold"/>
        <w:bidi w:val="0"/>
        <w:rPr>
          <w:rStyle w:val="None"/>
          <w:shd w:val="clear" w:color="auto" w:fill="ffffff"/>
        </w:rPr>
      </w:pPr>
      <w:r>
        <w:rPr>
          <w:rStyle w:val="None"/>
          <w:shd w:val="clear" w:color="auto" w:fill="ffffff"/>
          <w:rtl w:val="0"/>
          <w:lang w:val="de-DE"/>
        </w:rPr>
        <w:t>System Information:</w:t>
      </w:r>
    </w:p>
    <w:p>
      <w:pPr>
        <w:pStyle w:val="Body"/>
        <w:numPr>
          <w:ilvl w:val="0"/>
          <w:numId w:val="4"/>
        </w:numPr>
        <w:bidi w:val="0"/>
      </w:pPr>
      <w:r>
        <w:rPr>
          <w:rStyle w:val="None"/>
          <w:shd w:val="clear" w:color="auto" w:fill="ffffff"/>
          <w:rtl w:val="0"/>
          <w:lang w:val="de-DE"/>
        </w:rPr>
        <w:t>System Name:</w:t>
      </w:r>
    </w:p>
    <w:p>
      <w:pPr>
        <w:pStyle w:val="Body"/>
        <w:numPr>
          <w:ilvl w:val="0"/>
          <w:numId w:val="4"/>
        </w:numPr>
        <w:bidi w:val="0"/>
      </w:pPr>
      <w:r>
        <w:rPr>
          <w:rStyle w:val="None"/>
          <w:shd w:val="clear" w:color="auto" w:fill="ffffff"/>
          <w:rtl w:val="0"/>
          <w:lang w:val="en-US"/>
        </w:rPr>
        <w:t>Risk Classification:</w:t>
      </w:r>
      <w:r>
        <w:rPr>
          <w:rStyle w:val="None"/>
          <w:shd w:val="clear" w:color="auto" w:fill="ffffff"/>
        </w:rPr>
        <w:tab/>
        <w:tab/>
      </w:r>
      <w:r>
        <w:rPr>
          <w:rStyle w:val="None"/>
          <w:rFonts w:ascii="Arial Unicode MS" w:cs="Arial Unicode MS" w:hAnsi="Arial Unicode MS" w:eastAsia="Arial Unicode MS" w:hint="default"/>
          <w:b w:val="0"/>
          <w:bCs w:val="0"/>
          <w:i w:val="0"/>
          <w:iCs w:val="0"/>
          <w:shd w:val="clear" w:color="auto" w:fill="ffffff"/>
          <w:rtl w:val="0"/>
        </w:rPr>
        <w:t>□</w:t>
      </w:r>
      <w:r>
        <w:rPr>
          <w:rStyle w:val="None"/>
          <w:shd w:val="clear" w:color="auto" w:fill="ffffff"/>
          <w:rtl w:val="0"/>
        </w:rPr>
        <w:t xml:space="preserve"> </w:t>
      </w:r>
      <w:r>
        <w:rPr>
          <w:rStyle w:val="None"/>
          <w:shd w:val="clear" w:color="auto" w:fill="ffffff"/>
          <w:rtl w:val="0"/>
          <w:lang w:val="en-US"/>
        </w:rPr>
        <w:t>Low Risk</w:t>
      </w:r>
      <w:r>
        <w:rPr>
          <w:rStyle w:val="None"/>
          <w:shd w:val="clear" w:color="auto" w:fill="ffffff"/>
        </w:rPr>
        <w:tab/>
      </w:r>
      <w:r>
        <w:rPr>
          <w:rStyle w:val="None"/>
          <w:rFonts w:ascii="Arial Unicode MS" w:cs="Arial Unicode MS" w:hAnsi="Arial Unicode MS" w:eastAsia="Arial Unicode MS" w:hint="default"/>
          <w:b w:val="0"/>
          <w:bCs w:val="0"/>
          <w:i w:val="0"/>
          <w:iCs w:val="0"/>
          <w:shd w:val="clear" w:color="auto" w:fill="ffffff"/>
          <w:rtl w:val="0"/>
        </w:rPr>
        <w:t>□</w:t>
      </w:r>
      <w:r>
        <w:rPr>
          <w:rStyle w:val="None"/>
          <w:shd w:val="clear" w:color="auto" w:fill="ffffff"/>
          <w:rtl w:val="0"/>
        </w:rPr>
        <w:t xml:space="preserve"> </w:t>
      </w:r>
      <w:r>
        <w:rPr>
          <w:rStyle w:val="None"/>
          <w:shd w:val="clear" w:color="auto" w:fill="ffffff"/>
          <w:rtl w:val="0"/>
          <w:lang w:val="de-DE"/>
        </w:rPr>
        <w:t>Medium Risk</w:t>
      </w:r>
      <w:r>
        <w:rPr>
          <w:rStyle w:val="None"/>
          <w:shd w:val="clear" w:color="auto" w:fill="ffffff"/>
        </w:rPr>
        <w:tab/>
      </w:r>
      <w:r>
        <w:rPr>
          <w:rStyle w:val="None"/>
          <w:rFonts w:ascii="Arial Unicode MS" w:cs="Arial Unicode MS" w:hAnsi="Arial Unicode MS" w:eastAsia="Arial Unicode MS" w:hint="default"/>
          <w:b w:val="0"/>
          <w:bCs w:val="0"/>
          <w:i w:val="0"/>
          <w:iCs w:val="0"/>
          <w:shd w:val="clear" w:color="auto" w:fill="ffffff"/>
          <w:rtl w:val="0"/>
        </w:rPr>
        <w:t>□</w:t>
      </w:r>
      <w:r>
        <w:rPr>
          <w:rStyle w:val="None"/>
          <w:shd w:val="clear" w:color="auto" w:fill="ffffff"/>
          <w:rtl w:val="0"/>
        </w:rPr>
        <w:t xml:space="preserve"> </w:t>
      </w:r>
      <w:r>
        <w:rPr>
          <w:rStyle w:val="None"/>
          <w:shd w:val="clear" w:color="auto" w:fill="ffffff"/>
          <w:rtl w:val="0"/>
          <w:lang w:val="en-US"/>
        </w:rPr>
        <w:t>High Risk</w:t>
      </w:r>
    </w:p>
    <w:p>
      <w:pPr>
        <w:pStyle w:val="Body"/>
        <w:numPr>
          <w:ilvl w:val="0"/>
          <w:numId w:val="4"/>
        </w:numPr>
        <w:bidi w:val="0"/>
      </w:pPr>
      <w:r>
        <w:rPr>
          <w:rStyle w:val="None"/>
          <w:shd w:val="clear" w:color="auto" w:fill="ffffff"/>
          <w:rtl w:val="0"/>
          <w:lang w:val="en-US"/>
        </w:rPr>
        <w:t>Date of Assessment:</w:t>
      </w:r>
    </w:p>
    <w:p>
      <w:pPr>
        <w:pStyle w:val="Body"/>
        <w:numPr>
          <w:ilvl w:val="0"/>
          <w:numId w:val="4"/>
        </w:numPr>
        <w:bidi w:val="0"/>
      </w:pPr>
      <w:r>
        <w:rPr>
          <w:rStyle w:val="None"/>
          <w:shd w:val="clear" w:color="auto" w:fill="ffffff"/>
          <w:rtl w:val="0"/>
          <w:lang w:val="en-US"/>
        </w:rPr>
        <w:t>Assessment Conducted By:</w:t>
      </w:r>
    </w:p>
    <w:p>
      <w:pPr>
        <w:pStyle w:val="Heading 2"/>
        <w:bidi w:val="0"/>
        <w:rPr>
          <w:rStyle w:val="None"/>
          <w:shd w:val="clear" w:color="auto" w:fill="ffffff"/>
        </w:rPr>
      </w:pPr>
      <w:r>
        <w:rPr>
          <w:rStyle w:val="None"/>
          <w:shd w:val="clear" w:color="auto" w:fill="ffffff"/>
          <w:rtl w:val="0"/>
          <w:lang w:val="en-US"/>
        </w:rPr>
        <w:t>1. Data Risk Analysis</w:t>
      </w:r>
    </w:p>
    <w:tbl>
      <w:tblPr>
        <w:tblW w:w="9378"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599"/>
        <w:gridCol w:w="1170"/>
        <w:gridCol w:w="1053"/>
        <w:gridCol w:w="4556"/>
      </w:tblGrid>
      <w:tr>
        <w:tblPrEx>
          <w:shd w:val="clear" w:color="auto" w:fill="auto"/>
        </w:tblPrEx>
        <w:trPr>
          <w:trHeight w:val="287" w:hRule="exact"/>
        </w:trPr>
        <w:tc>
          <w:tcPr>
            <w:tcW w:type="dxa" w:w="2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center"/>
          </w:tcPr>
          <w:p>
            <w:pPr>
              <w:pStyle w:val="Body Bold"/>
              <w:bidi w:val="0"/>
            </w:pPr>
            <w:r>
              <w:rPr>
                <w:rFonts w:ascii="Lexend Regular Medium" w:cs="Arial Unicode MS" w:hAnsi="Lexend Regular Medium" w:eastAsia="Arial Unicode MS"/>
                <w:rtl w:val="0"/>
              </w:rPr>
              <w:t>Risk Factor</w:t>
            </w:r>
          </w:p>
        </w:tc>
        <w:tc>
          <w:tcPr>
            <w:tcW w:type="dxa" w:w="117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center"/>
          </w:tcPr>
          <w:p>
            <w:pPr>
              <w:pStyle w:val="Body Bold"/>
              <w:bidi w:val="0"/>
            </w:pPr>
            <w:r>
              <w:rPr>
                <w:rFonts w:ascii="Lexend Regular Medium" w:cs="Arial Unicode MS" w:hAnsi="Lexend Regular Medium" w:eastAsia="Arial Unicode MS"/>
                <w:rtl w:val="0"/>
              </w:rPr>
              <w:t>Risk Level</w:t>
            </w:r>
          </w:p>
        </w:tc>
        <w:tc>
          <w:tcPr>
            <w:tcW w:type="dxa" w:w="10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center"/>
          </w:tcPr>
          <w:p>
            <w:pPr>
              <w:pStyle w:val="Body Bold"/>
              <w:bidi w:val="0"/>
            </w:pPr>
            <w:r>
              <w:rPr>
                <w:rFonts w:ascii="Lexend Regular Medium" w:cs="Arial Unicode MS" w:hAnsi="Lexend Regular Medium" w:eastAsia="Arial Unicode MS"/>
                <w:rtl w:val="0"/>
              </w:rPr>
              <w:t>Details</w:t>
            </w:r>
          </w:p>
        </w:tc>
        <w:tc>
          <w:tcPr>
            <w:tcW w:type="dxa" w:w="45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40"/>
              <w:left w:type="dxa" w:w="40"/>
              <w:bottom w:type="dxa" w:w="40"/>
              <w:right w:type="dxa" w:w="40"/>
            </w:tcMar>
            <w:vAlign w:val="center"/>
          </w:tcPr>
          <w:p>
            <w:pPr>
              <w:pStyle w:val="Body Bold"/>
              <w:bidi w:val="0"/>
            </w:pPr>
            <w:r>
              <w:rPr>
                <w:rFonts w:ascii="Lexend Regular Medium" w:cs="Arial Unicode MS" w:hAnsi="Lexend Regular Medium" w:eastAsia="Arial Unicode MS"/>
                <w:rtl w:val="0"/>
              </w:rPr>
              <w:t>Mitigation Measures</w:t>
            </w:r>
          </w:p>
        </w:tc>
      </w:tr>
      <w:tr>
        <w:tblPrEx>
          <w:shd w:val="clear" w:color="auto" w:fill="auto"/>
        </w:tblPrEx>
        <w:trPr>
          <w:trHeight w:val="595" w:hRule="exact"/>
        </w:trPr>
        <w:tc>
          <w:tcPr>
            <w:tcW w:type="dxa" w:w="2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pPr>
              <w:pStyle w:val="Body"/>
              <w:bidi w:val="0"/>
            </w:pPr>
            <w:r>
              <w:rPr>
                <w:rFonts w:ascii="Lexend Regular Light" w:cs="Arial Unicode MS" w:hAnsi="Lexend Regular Light" w:eastAsia="Arial Unicode MS"/>
                <w:rtl w:val="0"/>
              </w:rPr>
              <w:t>Sensitive Data Exposure</w:t>
            </w:r>
          </w:p>
        </w:tc>
        <w:tc>
          <w:tcPr>
            <w:tcW w:type="dxa" w:w="117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10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45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r>
      <w:tr>
        <w:tblPrEx>
          <w:shd w:val="clear" w:color="auto" w:fill="auto"/>
        </w:tblPrEx>
        <w:trPr>
          <w:trHeight w:val="287" w:hRule="exact"/>
        </w:trPr>
        <w:tc>
          <w:tcPr>
            <w:tcW w:type="dxa" w:w="2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pPr>
              <w:pStyle w:val="Body"/>
              <w:bidi w:val="0"/>
            </w:pPr>
            <w:r>
              <w:rPr>
                <w:rFonts w:ascii="Lexend Regular Light" w:cs="Arial Unicode MS" w:hAnsi="Lexend Regular Light" w:eastAsia="Arial Unicode MS"/>
                <w:rtl w:val="0"/>
              </w:rPr>
              <w:t>Data Accuracy</w:t>
            </w:r>
          </w:p>
        </w:tc>
        <w:tc>
          <w:tcPr>
            <w:tcW w:type="dxa" w:w="117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tc>
        <w:tc>
          <w:tcPr>
            <w:tcW w:type="dxa" w:w="10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tc>
        <w:tc>
          <w:tcPr>
            <w:tcW w:type="dxa" w:w="45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tc>
      </w:tr>
      <w:tr>
        <w:tblPrEx>
          <w:shd w:val="clear" w:color="auto" w:fill="auto"/>
        </w:tblPrEx>
        <w:trPr>
          <w:trHeight w:val="287" w:hRule="exact"/>
        </w:trPr>
        <w:tc>
          <w:tcPr>
            <w:tcW w:type="dxa" w:w="2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pPr>
              <w:pStyle w:val="Body"/>
              <w:bidi w:val="0"/>
            </w:pPr>
            <w:r>
              <w:rPr>
                <w:rFonts w:ascii="Lexend Regular Light" w:cs="Arial Unicode MS" w:hAnsi="Lexend Regular Light" w:eastAsia="Arial Unicode MS"/>
                <w:rtl w:val="0"/>
              </w:rPr>
              <w:t>Data Bias</w:t>
            </w:r>
          </w:p>
        </w:tc>
        <w:tc>
          <w:tcPr>
            <w:tcW w:type="dxa" w:w="117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10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45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r>
      <w:tr>
        <w:tblPrEx>
          <w:shd w:val="clear" w:color="auto" w:fill="auto"/>
        </w:tblPrEx>
        <w:trPr>
          <w:trHeight w:val="287" w:hRule="exact"/>
        </w:trPr>
        <w:tc>
          <w:tcPr>
            <w:tcW w:type="dxa" w:w="2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pPr>
              <w:pStyle w:val="Body"/>
              <w:bidi w:val="0"/>
            </w:pPr>
            <w:r>
              <w:rPr>
                <w:rFonts w:ascii="Lexend Regular Light" w:cs="Arial Unicode MS" w:hAnsi="Lexend Regular Light" w:eastAsia="Arial Unicode MS"/>
                <w:rtl w:val="0"/>
              </w:rPr>
              <w:t>Data Security</w:t>
            </w:r>
          </w:p>
        </w:tc>
        <w:tc>
          <w:tcPr>
            <w:tcW w:type="dxa" w:w="117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tc>
        <w:tc>
          <w:tcPr>
            <w:tcW w:type="dxa" w:w="10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tc>
        <w:tc>
          <w:tcPr>
            <w:tcW w:type="dxa" w:w="45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tc>
      </w:tr>
      <w:tr>
        <w:tblPrEx>
          <w:shd w:val="clear" w:color="auto" w:fill="auto"/>
        </w:tblPrEx>
        <w:trPr>
          <w:trHeight w:val="287" w:hRule="exact"/>
        </w:trPr>
        <w:tc>
          <w:tcPr>
            <w:tcW w:type="dxa" w:w="25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pPr>
              <w:pStyle w:val="Body"/>
              <w:bidi w:val="0"/>
            </w:pPr>
            <w:r>
              <w:rPr>
                <w:rFonts w:ascii="Lexend Regular Light" w:cs="Arial Unicode MS" w:hAnsi="Lexend Regular Light" w:eastAsia="Arial Unicode MS"/>
                <w:rtl w:val="0"/>
              </w:rPr>
              <w:t>Data Governance</w:t>
            </w:r>
          </w:p>
        </w:tc>
        <w:tc>
          <w:tcPr>
            <w:tcW w:type="dxa" w:w="117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10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455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r>
    </w:tbl>
    <w:p>
      <w:pPr>
        <w:pStyle w:val="Default"/>
        <w:suppressAutoHyphens w:val="1"/>
        <w:spacing w:before="0" w:after="320" w:line="240" w:lineRule="auto"/>
        <w:jc w:val="left"/>
        <w:rPr>
          <w:rStyle w:val="None"/>
          <w:rFonts w:ascii="Helvetica" w:cs="Helvetica" w:hAnsi="Helvetica" w:eastAsia="Helvetica"/>
          <w:b w:val="1"/>
          <w:bCs w:val="1"/>
          <w:outline w:val="0"/>
          <w:color w:val="24282d"/>
          <w:sz w:val="40"/>
          <w:szCs w:val="40"/>
          <w:shd w:val="clear" w:color="auto" w:fill="ffffff"/>
          <w14:textFill>
            <w14:solidFill>
              <w14:srgbClr w14:val="24292E"/>
            </w14:solidFill>
          </w14:textFill>
        </w:rPr>
      </w:pPr>
    </w:p>
    <w:p>
      <w:pPr>
        <w:pStyle w:val="Heading 2"/>
        <w:bidi w:val="0"/>
        <w:rPr>
          <w:rStyle w:val="None"/>
          <w:shd w:val="clear" w:color="auto" w:fill="ffffff"/>
        </w:rPr>
      </w:pPr>
      <w:r>
        <w:rPr>
          <w:rStyle w:val="None"/>
          <w:shd w:val="clear" w:color="auto" w:fill="ffffff"/>
          <w:rtl w:val="0"/>
          <w:lang w:val="en-US"/>
        </w:rPr>
        <w:t>2. Technical Risk Analysis</w:t>
      </w:r>
    </w:p>
    <w:tbl>
      <w:tblPr>
        <w:tblW w:w="9378"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560"/>
        <w:gridCol w:w="1193"/>
        <w:gridCol w:w="1047"/>
        <w:gridCol w:w="4578"/>
      </w:tblGrid>
      <w:tr>
        <w:tblPrEx>
          <w:shd w:val="clear" w:color="auto" w:fill="auto"/>
        </w:tblPrEx>
        <w:trPr>
          <w:trHeight w:val="287" w:hRule="exact"/>
        </w:trPr>
        <w:tc>
          <w:tcPr>
            <w:tcW w:type="dxa" w:w="25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pPr>
              <w:pStyle w:val="Body Bold"/>
              <w:bidi w:val="0"/>
            </w:pPr>
            <w:r>
              <w:rPr>
                <w:rFonts w:ascii="Lexend Regular Medium" w:cs="Arial Unicode MS" w:hAnsi="Lexend Regular Medium" w:eastAsia="Arial Unicode MS"/>
                <w:rtl w:val="0"/>
              </w:rPr>
              <w:t>Risk Factor</w:t>
            </w:r>
          </w:p>
        </w:tc>
        <w:tc>
          <w:tcPr>
            <w:tcW w:type="dxa" w:w="11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pPr>
              <w:pStyle w:val="Body Bold"/>
              <w:bidi w:val="0"/>
            </w:pPr>
            <w:r>
              <w:rPr>
                <w:rFonts w:ascii="Lexend Regular Medium" w:cs="Arial Unicode MS" w:hAnsi="Lexend Regular Medium" w:eastAsia="Arial Unicode MS"/>
                <w:rtl w:val="0"/>
              </w:rPr>
              <w:t>Risk Level</w:t>
            </w:r>
          </w:p>
        </w:tc>
        <w:tc>
          <w:tcPr>
            <w:tcW w:type="dxa" w:w="10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pPr>
              <w:pStyle w:val="Body Bold"/>
              <w:bidi w:val="0"/>
            </w:pPr>
            <w:r>
              <w:rPr>
                <w:rFonts w:ascii="Lexend Regular Medium" w:cs="Arial Unicode MS" w:hAnsi="Lexend Regular Medium" w:eastAsia="Arial Unicode MS"/>
                <w:rtl w:val="0"/>
              </w:rPr>
              <w:t>Details</w:t>
            </w:r>
          </w:p>
        </w:tc>
        <w:tc>
          <w:tcPr>
            <w:tcW w:type="dxa" w:w="45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pPr>
              <w:pStyle w:val="Body Bold"/>
              <w:bidi w:val="0"/>
            </w:pPr>
            <w:r>
              <w:rPr>
                <w:rFonts w:ascii="Lexend Regular Medium" w:cs="Arial Unicode MS" w:hAnsi="Lexend Regular Medium" w:eastAsia="Arial Unicode MS"/>
                <w:rtl w:val="0"/>
              </w:rPr>
              <w:t>Mitigation Measures</w:t>
            </w:r>
          </w:p>
        </w:tc>
      </w:tr>
      <w:tr>
        <w:tblPrEx>
          <w:shd w:val="clear" w:color="auto" w:fill="auto"/>
        </w:tblPrEx>
        <w:trPr>
          <w:trHeight w:val="287" w:hRule="exact"/>
        </w:trPr>
        <w:tc>
          <w:tcPr>
            <w:tcW w:type="dxa" w:w="25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pPr>
              <w:pStyle w:val="Body"/>
              <w:bidi w:val="0"/>
            </w:pPr>
            <w:r>
              <w:rPr>
                <w:rFonts w:ascii="Lexend Regular Light" w:cs="Arial Unicode MS" w:hAnsi="Lexend Regular Light" w:eastAsia="Arial Unicode MS"/>
                <w:rtl w:val="0"/>
              </w:rPr>
              <w:t>System Reliability</w:t>
            </w:r>
          </w:p>
        </w:tc>
        <w:tc>
          <w:tcPr>
            <w:tcW w:type="dxa" w:w="11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10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45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r>
      <w:tr>
        <w:tblPrEx>
          <w:shd w:val="clear" w:color="auto" w:fill="auto"/>
        </w:tblPrEx>
        <w:trPr>
          <w:trHeight w:val="287" w:hRule="exact"/>
        </w:trPr>
        <w:tc>
          <w:tcPr>
            <w:tcW w:type="dxa" w:w="25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pPr>
              <w:pStyle w:val="Body"/>
              <w:bidi w:val="0"/>
            </w:pPr>
            <w:r>
              <w:rPr>
                <w:rFonts w:ascii="Lexend Regular Light" w:cs="Arial Unicode MS" w:hAnsi="Lexend Regular Light" w:eastAsia="Arial Unicode MS"/>
                <w:rtl w:val="0"/>
              </w:rPr>
              <w:t>Output Accuracy</w:t>
            </w:r>
          </w:p>
        </w:tc>
        <w:tc>
          <w:tcPr>
            <w:tcW w:type="dxa" w:w="11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tc>
        <w:tc>
          <w:tcPr>
            <w:tcW w:type="dxa" w:w="10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tc>
        <w:tc>
          <w:tcPr>
            <w:tcW w:type="dxa" w:w="45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tc>
      </w:tr>
      <w:tr>
        <w:tblPrEx>
          <w:shd w:val="clear" w:color="auto" w:fill="auto"/>
        </w:tblPrEx>
        <w:trPr>
          <w:trHeight w:val="287" w:hRule="exact"/>
        </w:trPr>
        <w:tc>
          <w:tcPr>
            <w:tcW w:type="dxa" w:w="25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pPr>
              <w:pStyle w:val="Body"/>
              <w:bidi w:val="0"/>
            </w:pPr>
            <w:r>
              <w:rPr>
                <w:rFonts w:ascii="Lexend Regular Light" w:cs="Arial Unicode MS" w:hAnsi="Lexend Regular Light" w:eastAsia="Arial Unicode MS"/>
                <w:rtl w:val="0"/>
              </w:rPr>
              <w:t>Security Vulnerabilities</w:t>
            </w:r>
          </w:p>
        </w:tc>
        <w:tc>
          <w:tcPr>
            <w:tcW w:type="dxa" w:w="11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10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45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r>
      <w:tr>
        <w:tblPrEx>
          <w:shd w:val="clear" w:color="auto" w:fill="auto"/>
        </w:tblPrEx>
        <w:trPr>
          <w:trHeight w:val="287" w:hRule="exact"/>
        </w:trPr>
        <w:tc>
          <w:tcPr>
            <w:tcW w:type="dxa" w:w="25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pPr>
              <w:pStyle w:val="Body"/>
              <w:bidi w:val="0"/>
            </w:pPr>
            <w:r>
              <w:rPr>
                <w:rFonts w:ascii="Lexend Regular Light" w:cs="Arial Unicode MS" w:hAnsi="Lexend Regular Light" w:eastAsia="Arial Unicode MS"/>
                <w:rtl w:val="0"/>
              </w:rPr>
              <w:t>Integration Risks</w:t>
            </w:r>
          </w:p>
        </w:tc>
        <w:tc>
          <w:tcPr>
            <w:tcW w:type="dxa" w:w="11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tc>
        <w:tc>
          <w:tcPr>
            <w:tcW w:type="dxa" w:w="10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tc>
        <w:tc>
          <w:tcPr>
            <w:tcW w:type="dxa" w:w="45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tc>
      </w:tr>
      <w:tr>
        <w:tblPrEx>
          <w:shd w:val="clear" w:color="auto" w:fill="auto"/>
        </w:tblPrEx>
        <w:trPr>
          <w:trHeight w:val="287" w:hRule="exact"/>
        </w:trPr>
        <w:tc>
          <w:tcPr>
            <w:tcW w:type="dxa" w:w="25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pPr>
              <w:pStyle w:val="Body"/>
              <w:bidi w:val="0"/>
            </w:pPr>
            <w:r>
              <w:rPr>
                <w:rFonts w:ascii="Lexend Regular Light" w:cs="Arial Unicode MS" w:hAnsi="Lexend Regular Light" w:eastAsia="Arial Unicode MS"/>
                <w:rtl w:val="0"/>
              </w:rPr>
              <w:t>Scalability Issues</w:t>
            </w:r>
          </w:p>
        </w:tc>
        <w:tc>
          <w:tcPr>
            <w:tcW w:type="dxa" w:w="11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104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457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r>
    </w:tbl>
    <w:p>
      <w:pPr>
        <w:pStyle w:val="Default"/>
        <w:suppressAutoHyphens w:val="1"/>
        <w:spacing w:before="0" w:after="320" w:line="240" w:lineRule="auto"/>
        <w:jc w:val="left"/>
        <w:rPr>
          <w:rStyle w:val="None"/>
          <w:rFonts w:ascii="Helvetica" w:cs="Helvetica" w:hAnsi="Helvetica" w:eastAsia="Helvetica"/>
          <w:b w:val="1"/>
          <w:bCs w:val="1"/>
          <w:outline w:val="0"/>
          <w:color w:val="24282d"/>
          <w:sz w:val="40"/>
          <w:szCs w:val="40"/>
          <w:shd w:val="clear" w:color="auto" w:fill="ffffff"/>
          <w14:textFill>
            <w14:solidFill>
              <w14:srgbClr w14:val="24292E"/>
            </w14:solidFill>
          </w14:textFill>
        </w:rPr>
      </w:pPr>
    </w:p>
    <w:p>
      <w:pPr>
        <w:pStyle w:val="Heading 2"/>
        <w:bidi w:val="0"/>
        <w:rPr>
          <w:rStyle w:val="None"/>
          <w:shd w:val="clear" w:color="auto" w:fill="ffffff"/>
        </w:rPr>
      </w:pPr>
      <w:r>
        <w:rPr>
          <w:rStyle w:val="None"/>
          <w:shd w:val="clear" w:color="auto" w:fill="ffffff"/>
          <w:rtl w:val="0"/>
          <w:lang w:val="en-US"/>
        </w:rPr>
        <w:t>3. Operational Risk Analysis</w:t>
      </w:r>
    </w:p>
    <w:tbl>
      <w:tblPr>
        <w:tblW w:w="9378"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545"/>
        <w:gridCol w:w="1211"/>
        <w:gridCol w:w="994"/>
        <w:gridCol w:w="4628"/>
      </w:tblGrid>
      <w:tr>
        <w:tblPrEx>
          <w:shd w:val="clear" w:color="auto" w:fill="auto"/>
        </w:tblPrEx>
        <w:trPr>
          <w:trHeight w:val="287" w:hRule="exact"/>
        </w:trPr>
        <w:tc>
          <w:tcPr>
            <w:tcW w:type="dxa" w:w="254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pPr>
              <w:pStyle w:val="Body Bold"/>
              <w:bidi w:val="0"/>
            </w:pPr>
            <w:r>
              <w:rPr>
                <w:rFonts w:ascii="Lexend Regular Medium" w:cs="Arial Unicode MS" w:hAnsi="Lexend Regular Medium" w:eastAsia="Arial Unicode MS"/>
                <w:rtl w:val="0"/>
              </w:rPr>
              <w:t>Risk Factor</w:t>
            </w:r>
          </w:p>
        </w:tc>
        <w:tc>
          <w:tcPr>
            <w:tcW w:type="dxa" w:w="1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pPr>
              <w:pStyle w:val="Body Bold"/>
              <w:bidi w:val="0"/>
            </w:pPr>
            <w:r>
              <w:rPr>
                <w:rFonts w:ascii="Lexend Regular Medium" w:cs="Arial Unicode MS" w:hAnsi="Lexend Regular Medium" w:eastAsia="Arial Unicode MS"/>
                <w:rtl w:val="0"/>
              </w:rPr>
              <w:t>Risk Level</w:t>
            </w:r>
          </w:p>
        </w:tc>
        <w:tc>
          <w:tcPr>
            <w:tcW w:type="dxa" w:w="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pPr>
              <w:pStyle w:val="Body Bold"/>
              <w:bidi w:val="0"/>
            </w:pPr>
            <w:r>
              <w:rPr>
                <w:rFonts w:ascii="Lexend Regular Medium" w:cs="Arial Unicode MS" w:hAnsi="Lexend Regular Medium" w:eastAsia="Arial Unicode MS"/>
                <w:rtl w:val="0"/>
              </w:rPr>
              <w:t>Details</w:t>
            </w:r>
          </w:p>
        </w:tc>
        <w:tc>
          <w:tcPr>
            <w:tcW w:type="dxa" w:w="46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pPr>
              <w:pStyle w:val="Body Bold"/>
              <w:bidi w:val="0"/>
            </w:pPr>
            <w:r>
              <w:rPr>
                <w:rFonts w:ascii="Lexend Regular Medium" w:cs="Arial Unicode MS" w:hAnsi="Lexend Regular Medium" w:eastAsia="Arial Unicode MS"/>
                <w:rtl w:val="0"/>
              </w:rPr>
              <w:t>Mitigation Measures</w:t>
            </w:r>
          </w:p>
        </w:tc>
      </w:tr>
      <w:tr>
        <w:tblPrEx>
          <w:shd w:val="clear" w:color="auto" w:fill="auto"/>
        </w:tblPrEx>
        <w:trPr>
          <w:trHeight w:val="287" w:hRule="exact"/>
        </w:trPr>
        <w:tc>
          <w:tcPr>
            <w:tcW w:type="dxa" w:w="254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pPr>
              <w:pStyle w:val="Body"/>
              <w:bidi w:val="0"/>
            </w:pPr>
            <w:r>
              <w:rPr>
                <w:rFonts w:ascii="Lexend Regular Light" w:cs="Arial Unicode MS" w:hAnsi="Lexend Regular Light" w:eastAsia="Arial Unicode MS"/>
                <w:rtl w:val="0"/>
              </w:rPr>
              <w:t>Business Continuity</w:t>
            </w:r>
          </w:p>
        </w:tc>
        <w:tc>
          <w:tcPr>
            <w:tcW w:type="dxa" w:w="1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46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r>
      <w:tr>
        <w:tblPrEx>
          <w:shd w:val="clear" w:color="auto" w:fill="auto"/>
        </w:tblPrEx>
        <w:trPr>
          <w:trHeight w:val="287" w:hRule="exact"/>
        </w:trPr>
        <w:tc>
          <w:tcPr>
            <w:tcW w:type="dxa" w:w="254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pPr>
              <w:pStyle w:val="Body"/>
              <w:bidi w:val="0"/>
            </w:pPr>
            <w:r>
              <w:rPr>
                <w:rFonts w:ascii="Lexend Regular Light" w:cs="Arial Unicode MS" w:hAnsi="Lexend Regular Light" w:eastAsia="Arial Unicode MS"/>
                <w:rtl w:val="0"/>
              </w:rPr>
              <w:t>Cost Management</w:t>
            </w:r>
          </w:p>
        </w:tc>
        <w:tc>
          <w:tcPr>
            <w:tcW w:type="dxa" w:w="1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tc>
        <w:tc>
          <w:tcPr>
            <w:tcW w:type="dxa" w:w="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tc>
        <w:tc>
          <w:tcPr>
            <w:tcW w:type="dxa" w:w="46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tc>
      </w:tr>
      <w:tr>
        <w:tblPrEx>
          <w:shd w:val="clear" w:color="auto" w:fill="auto"/>
        </w:tblPrEx>
        <w:trPr>
          <w:trHeight w:val="287" w:hRule="exact"/>
        </w:trPr>
        <w:tc>
          <w:tcPr>
            <w:tcW w:type="dxa" w:w="254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pPr>
              <w:pStyle w:val="Body"/>
              <w:bidi w:val="0"/>
            </w:pPr>
            <w:r>
              <w:rPr>
                <w:rFonts w:ascii="Lexend Regular Light" w:cs="Arial Unicode MS" w:hAnsi="Lexend Regular Light" w:eastAsia="Arial Unicode MS"/>
                <w:rtl w:val="0"/>
              </w:rPr>
              <w:t>Dependency Risks</w:t>
            </w:r>
          </w:p>
        </w:tc>
        <w:tc>
          <w:tcPr>
            <w:tcW w:type="dxa" w:w="1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46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r>
      <w:tr>
        <w:tblPrEx>
          <w:shd w:val="clear" w:color="auto" w:fill="auto"/>
        </w:tblPrEx>
        <w:trPr>
          <w:trHeight w:val="287" w:hRule="exact"/>
        </w:trPr>
        <w:tc>
          <w:tcPr>
            <w:tcW w:type="dxa" w:w="254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pPr>
              <w:pStyle w:val="Body"/>
              <w:bidi w:val="0"/>
            </w:pPr>
            <w:r>
              <w:rPr>
                <w:rFonts w:ascii="Lexend Regular Light" w:cs="Arial Unicode MS" w:hAnsi="Lexend Regular Light" w:eastAsia="Arial Unicode MS"/>
                <w:rtl w:val="0"/>
              </w:rPr>
              <w:t>Process Disruption</w:t>
            </w:r>
          </w:p>
        </w:tc>
        <w:tc>
          <w:tcPr>
            <w:tcW w:type="dxa" w:w="1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tc>
        <w:tc>
          <w:tcPr>
            <w:tcW w:type="dxa" w:w="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tc>
        <w:tc>
          <w:tcPr>
            <w:tcW w:type="dxa" w:w="46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tc>
      </w:tr>
      <w:tr>
        <w:tblPrEx>
          <w:shd w:val="clear" w:color="auto" w:fill="auto"/>
        </w:tblPrEx>
        <w:trPr>
          <w:trHeight w:val="287" w:hRule="exact"/>
        </w:trPr>
        <w:tc>
          <w:tcPr>
            <w:tcW w:type="dxa" w:w="254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pPr>
              <w:pStyle w:val="Body"/>
              <w:bidi w:val="0"/>
            </w:pPr>
            <w:r>
              <w:rPr>
                <w:rFonts w:ascii="Lexend Regular Light" w:cs="Arial Unicode MS" w:hAnsi="Lexend Regular Light" w:eastAsia="Arial Unicode MS"/>
                <w:rtl w:val="0"/>
              </w:rPr>
              <w:t>Staff Adaptation</w:t>
            </w:r>
          </w:p>
        </w:tc>
        <w:tc>
          <w:tcPr>
            <w:tcW w:type="dxa" w:w="12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99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462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r>
    </w:tbl>
    <w:p>
      <w:pPr>
        <w:pStyle w:val="Default"/>
        <w:suppressAutoHyphens w:val="1"/>
        <w:spacing w:before="0" w:after="320" w:line="240" w:lineRule="auto"/>
        <w:jc w:val="left"/>
        <w:rPr>
          <w:rStyle w:val="None"/>
          <w:rFonts w:ascii="Helvetica" w:cs="Helvetica" w:hAnsi="Helvetica" w:eastAsia="Helvetica"/>
          <w:b w:val="1"/>
          <w:bCs w:val="1"/>
          <w:outline w:val="0"/>
          <w:color w:val="24282d"/>
          <w:sz w:val="40"/>
          <w:szCs w:val="40"/>
          <w:shd w:val="clear" w:color="auto" w:fill="ffffff"/>
          <w14:textFill>
            <w14:solidFill>
              <w14:srgbClr w14:val="24292E"/>
            </w14:solidFill>
          </w14:textFill>
        </w:rPr>
      </w:pPr>
    </w:p>
    <w:p>
      <w:pPr>
        <w:pStyle w:val="Heading 2"/>
        <w:bidi w:val="0"/>
        <w:rPr>
          <w:rStyle w:val="None"/>
          <w:shd w:val="clear" w:color="auto" w:fill="ffffff"/>
        </w:rPr>
      </w:pPr>
      <w:r>
        <w:rPr>
          <w:rStyle w:val="None"/>
          <w:shd w:val="clear" w:color="auto" w:fill="ffffff"/>
          <w:rtl w:val="0"/>
          <w:lang w:val="en-US"/>
        </w:rPr>
        <w:t>4. Compliance Risk Analysis</w:t>
      </w:r>
    </w:p>
    <w:tbl>
      <w:tblPr>
        <w:tblW w:w="9378"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513"/>
        <w:gridCol w:w="1214"/>
        <w:gridCol w:w="999"/>
        <w:gridCol w:w="4652"/>
      </w:tblGrid>
      <w:tr>
        <w:tblPrEx>
          <w:shd w:val="clear" w:color="auto" w:fill="auto"/>
        </w:tblPrEx>
        <w:trPr>
          <w:trHeight w:val="287" w:hRule="exact"/>
        </w:trPr>
        <w:tc>
          <w:tcPr>
            <w:tcW w:type="dxa" w:w="251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pPr>
              <w:pStyle w:val="Body Bold"/>
              <w:bidi w:val="0"/>
            </w:pPr>
            <w:r>
              <w:rPr>
                <w:rFonts w:ascii="Lexend Regular Medium" w:cs="Arial Unicode MS" w:hAnsi="Lexend Regular Medium" w:eastAsia="Arial Unicode MS"/>
                <w:rtl w:val="0"/>
              </w:rPr>
              <w:t>Risk Factor</w:t>
            </w:r>
          </w:p>
        </w:tc>
        <w:tc>
          <w:tcPr>
            <w:tcW w:type="dxa" w:w="12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pPr>
              <w:pStyle w:val="Body Bold"/>
              <w:bidi w:val="0"/>
            </w:pPr>
            <w:r>
              <w:rPr>
                <w:rFonts w:ascii="Lexend Regular Medium" w:cs="Arial Unicode MS" w:hAnsi="Lexend Regular Medium" w:eastAsia="Arial Unicode MS"/>
                <w:rtl w:val="0"/>
              </w:rPr>
              <w:t>Risk Level</w:t>
            </w:r>
          </w:p>
        </w:tc>
        <w:tc>
          <w:tcPr>
            <w:tcW w:type="dxa" w:w="9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pPr>
              <w:pStyle w:val="Body Bold"/>
              <w:bidi w:val="0"/>
            </w:pPr>
            <w:r>
              <w:rPr>
                <w:rFonts w:ascii="Lexend Regular Medium" w:cs="Arial Unicode MS" w:hAnsi="Lexend Regular Medium" w:eastAsia="Arial Unicode MS"/>
                <w:rtl w:val="0"/>
              </w:rPr>
              <w:t>Details</w:t>
            </w:r>
          </w:p>
        </w:tc>
        <w:tc>
          <w:tcPr>
            <w:tcW w:type="dxa" w:w="46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pPr>
              <w:pStyle w:val="Body Bold"/>
              <w:bidi w:val="0"/>
            </w:pPr>
            <w:r>
              <w:rPr>
                <w:rFonts w:ascii="Lexend Regular Medium" w:cs="Arial Unicode MS" w:hAnsi="Lexend Regular Medium" w:eastAsia="Arial Unicode MS"/>
                <w:rtl w:val="0"/>
              </w:rPr>
              <w:t>Mitigation Measures</w:t>
            </w:r>
          </w:p>
        </w:tc>
      </w:tr>
      <w:tr>
        <w:tblPrEx>
          <w:shd w:val="clear" w:color="auto" w:fill="auto"/>
        </w:tblPrEx>
        <w:trPr>
          <w:trHeight w:val="287" w:hRule="exact"/>
        </w:trPr>
        <w:tc>
          <w:tcPr>
            <w:tcW w:type="dxa" w:w="251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pPr>
              <w:pStyle w:val="Body"/>
              <w:bidi w:val="0"/>
            </w:pPr>
            <w:r>
              <w:rPr>
                <w:rFonts w:ascii="Lexend Regular Light" w:cs="Arial Unicode MS" w:hAnsi="Lexend Regular Light" w:eastAsia="Arial Unicode MS"/>
                <w:rtl w:val="0"/>
              </w:rPr>
              <w:t>EU AI Act Compliance</w:t>
            </w:r>
          </w:p>
        </w:tc>
        <w:tc>
          <w:tcPr>
            <w:tcW w:type="dxa" w:w="12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9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46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r>
      <w:tr>
        <w:tblPrEx>
          <w:shd w:val="clear" w:color="auto" w:fill="auto"/>
        </w:tblPrEx>
        <w:trPr>
          <w:trHeight w:val="287" w:hRule="exact"/>
        </w:trPr>
        <w:tc>
          <w:tcPr>
            <w:tcW w:type="dxa" w:w="251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pPr>
              <w:pStyle w:val="Body"/>
              <w:bidi w:val="0"/>
            </w:pPr>
            <w:r>
              <w:rPr>
                <w:rFonts w:ascii="Lexend Regular Light" w:cs="Arial Unicode MS" w:hAnsi="Lexend Regular Light" w:eastAsia="Arial Unicode MS"/>
                <w:rtl w:val="0"/>
              </w:rPr>
              <w:t>Data Protection Compliance</w:t>
            </w:r>
          </w:p>
        </w:tc>
        <w:tc>
          <w:tcPr>
            <w:tcW w:type="dxa" w:w="12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tc>
        <w:tc>
          <w:tcPr>
            <w:tcW w:type="dxa" w:w="9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tc>
        <w:tc>
          <w:tcPr>
            <w:tcW w:type="dxa" w:w="46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tc>
      </w:tr>
      <w:tr>
        <w:tblPrEx>
          <w:shd w:val="clear" w:color="auto" w:fill="auto"/>
        </w:tblPrEx>
        <w:trPr>
          <w:trHeight w:val="287" w:hRule="exact"/>
        </w:trPr>
        <w:tc>
          <w:tcPr>
            <w:tcW w:type="dxa" w:w="251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pPr>
              <w:pStyle w:val="Body"/>
              <w:bidi w:val="0"/>
            </w:pPr>
            <w:r>
              <w:rPr>
                <w:rFonts w:ascii="Lexend Regular Light" w:cs="Arial Unicode MS" w:hAnsi="Lexend Regular Light" w:eastAsia="Arial Unicode MS"/>
                <w:rtl w:val="0"/>
              </w:rPr>
              <w:t>Industry-Specific Regulations</w:t>
            </w:r>
          </w:p>
        </w:tc>
        <w:tc>
          <w:tcPr>
            <w:tcW w:type="dxa" w:w="12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9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46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r>
      <w:tr>
        <w:tblPrEx>
          <w:shd w:val="clear" w:color="auto" w:fill="auto"/>
        </w:tblPrEx>
        <w:trPr>
          <w:trHeight w:val="287" w:hRule="exact"/>
        </w:trPr>
        <w:tc>
          <w:tcPr>
            <w:tcW w:type="dxa" w:w="251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pPr>
              <w:pStyle w:val="Body"/>
              <w:bidi w:val="0"/>
            </w:pPr>
            <w:r>
              <w:rPr>
                <w:rFonts w:ascii="Lexend Regular Light" w:cs="Arial Unicode MS" w:hAnsi="Lexend Regular Light" w:eastAsia="Arial Unicode MS"/>
                <w:rtl w:val="0"/>
              </w:rPr>
              <w:t>Documentation Requirements</w:t>
            </w:r>
          </w:p>
        </w:tc>
        <w:tc>
          <w:tcPr>
            <w:tcW w:type="dxa" w:w="12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tc>
        <w:tc>
          <w:tcPr>
            <w:tcW w:type="dxa" w:w="9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tc>
        <w:tc>
          <w:tcPr>
            <w:tcW w:type="dxa" w:w="46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tc>
      </w:tr>
      <w:tr>
        <w:tblPrEx>
          <w:shd w:val="clear" w:color="auto" w:fill="auto"/>
        </w:tblPrEx>
        <w:trPr>
          <w:trHeight w:val="287" w:hRule="exact"/>
        </w:trPr>
        <w:tc>
          <w:tcPr>
            <w:tcW w:type="dxa" w:w="251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pPr>
              <w:pStyle w:val="Body"/>
              <w:bidi w:val="0"/>
            </w:pPr>
            <w:r>
              <w:rPr>
                <w:rFonts w:ascii="Lexend Regular Light" w:cs="Arial Unicode MS" w:hAnsi="Lexend Regular Light" w:eastAsia="Arial Unicode MS"/>
                <w:rtl w:val="0"/>
              </w:rPr>
              <w:t>Reporting Obligations</w:t>
            </w:r>
          </w:p>
        </w:tc>
        <w:tc>
          <w:tcPr>
            <w:tcW w:type="dxa" w:w="12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9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46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r>
    </w:tbl>
    <w:p>
      <w:pPr>
        <w:pStyle w:val="Default"/>
        <w:suppressAutoHyphens w:val="1"/>
        <w:spacing w:before="0" w:after="320" w:line="240" w:lineRule="auto"/>
        <w:jc w:val="left"/>
        <w:rPr>
          <w:rStyle w:val="None"/>
          <w:rFonts w:ascii="Helvetica" w:cs="Helvetica" w:hAnsi="Helvetica" w:eastAsia="Helvetica"/>
          <w:b w:val="1"/>
          <w:bCs w:val="1"/>
          <w:outline w:val="0"/>
          <w:color w:val="24282d"/>
          <w:sz w:val="40"/>
          <w:szCs w:val="40"/>
          <w:shd w:val="clear" w:color="auto" w:fill="ffffff"/>
          <w14:textFill>
            <w14:solidFill>
              <w14:srgbClr w14:val="24292E"/>
            </w14:solidFill>
          </w14:textFill>
        </w:rPr>
      </w:pPr>
    </w:p>
    <w:p>
      <w:pPr>
        <w:pStyle w:val="Heading 2"/>
        <w:bidi w:val="0"/>
      </w:pPr>
      <w:r>
        <w:rPr>
          <w:rtl w:val="0"/>
        </w:rPr>
        <w:t>5. Ethical Risk Analysis</w:t>
      </w:r>
    </w:p>
    <w:tbl>
      <w:tblPr>
        <w:tblW w:w="9378"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498"/>
        <w:gridCol w:w="1188"/>
        <w:gridCol w:w="1071"/>
        <w:gridCol w:w="4621"/>
      </w:tblGrid>
      <w:tr>
        <w:tblPrEx>
          <w:shd w:val="clear" w:color="auto" w:fill="auto"/>
        </w:tblPrEx>
        <w:trPr>
          <w:trHeight w:val="287" w:hRule="exact"/>
        </w:trPr>
        <w:tc>
          <w:tcPr>
            <w:tcW w:type="dxa" w:w="24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pPr>
              <w:pStyle w:val="Body Bold"/>
              <w:bidi w:val="0"/>
            </w:pPr>
            <w:r>
              <w:rPr>
                <w:rFonts w:ascii="Lexend Regular Medium" w:cs="Arial Unicode MS" w:hAnsi="Lexend Regular Medium" w:eastAsia="Arial Unicode MS"/>
                <w:rtl w:val="0"/>
              </w:rPr>
              <w:t>Risk Factor</w:t>
            </w:r>
          </w:p>
        </w:tc>
        <w:tc>
          <w:tcPr>
            <w:tcW w:type="dxa" w:w="11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pPr>
              <w:pStyle w:val="Body Bold"/>
              <w:bidi w:val="0"/>
            </w:pPr>
            <w:r>
              <w:rPr>
                <w:rFonts w:ascii="Lexend Regular Medium" w:cs="Arial Unicode MS" w:hAnsi="Lexend Regular Medium" w:eastAsia="Arial Unicode MS"/>
                <w:rtl w:val="0"/>
              </w:rPr>
              <w:t>Risk Level</w:t>
            </w:r>
          </w:p>
        </w:tc>
        <w:tc>
          <w:tcPr>
            <w:tcW w:type="dxa" w:w="10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pPr>
              <w:pStyle w:val="Body Bold"/>
              <w:bidi w:val="0"/>
            </w:pPr>
            <w:r>
              <w:rPr>
                <w:rFonts w:ascii="Lexend Regular Medium" w:cs="Arial Unicode MS" w:hAnsi="Lexend Regular Medium" w:eastAsia="Arial Unicode MS"/>
                <w:rtl w:val="0"/>
              </w:rPr>
              <w:t>Details</w:t>
            </w:r>
          </w:p>
        </w:tc>
        <w:tc>
          <w:tcPr>
            <w:tcW w:type="dxa" w:w="46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pPr>
              <w:pStyle w:val="Body Bold"/>
              <w:bidi w:val="0"/>
            </w:pPr>
            <w:r>
              <w:rPr>
                <w:rFonts w:ascii="Lexend Regular Medium" w:cs="Arial Unicode MS" w:hAnsi="Lexend Regular Medium" w:eastAsia="Arial Unicode MS"/>
                <w:rtl w:val="0"/>
              </w:rPr>
              <w:t>Mitigation Measures</w:t>
            </w:r>
          </w:p>
        </w:tc>
      </w:tr>
      <w:tr>
        <w:tblPrEx>
          <w:shd w:val="clear" w:color="auto" w:fill="auto"/>
        </w:tblPrEx>
        <w:trPr>
          <w:trHeight w:val="287" w:hRule="exact"/>
        </w:trPr>
        <w:tc>
          <w:tcPr>
            <w:tcW w:type="dxa" w:w="24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pPr>
              <w:pStyle w:val="Body"/>
              <w:bidi w:val="0"/>
            </w:pPr>
            <w:r>
              <w:rPr>
                <w:rFonts w:ascii="Lexend Regular Light" w:cs="Arial Unicode MS" w:hAnsi="Lexend Regular Light" w:eastAsia="Arial Unicode MS"/>
                <w:rtl w:val="0"/>
              </w:rPr>
              <w:t>Bias and Fairness</w:t>
            </w:r>
          </w:p>
        </w:tc>
        <w:tc>
          <w:tcPr>
            <w:tcW w:type="dxa" w:w="11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10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46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r>
      <w:tr>
        <w:tblPrEx>
          <w:shd w:val="clear" w:color="auto" w:fill="auto"/>
        </w:tblPrEx>
        <w:trPr>
          <w:trHeight w:val="287" w:hRule="exact"/>
        </w:trPr>
        <w:tc>
          <w:tcPr>
            <w:tcW w:type="dxa" w:w="24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pPr>
              <w:pStyle w:val="Body"/>
              <w:bidi w:val="0"/>
            </w:pPr>
            <w:r>
              <w:rPr>
                <w:rFonts w:ascii="Lexend Regular Light" w:cs="Arial Unicode MS" w:hAnsi="Lexend Regular Light" w:eastAsia="Arial Unicode MS"/>
                <w:rtl w:val="0"/>
              </w:rPr>
              <w:t>Transparency</w:t>
            </w:r>
          </w:p>
        </w:tc>
        <w:tc>
          <w:tcPr>
            <w:tcW w:type="dxa" w:w="11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tc>
        <w:tc>
          <w:tcPr>
            <w:tcW w:type="dxa" w:w="10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tc>
        <w:tc>
          <w:tcPr>
            <w:tcW w:type="dxa" w:w="46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tc>
      </w:tr>
      <w:tr>
        <w:tblPrEx>
          <w:shd w:val="clear" w:color="auto" w:fill="auto"/>
        </w:tblPrEx>
        <w:trPr>
          <w:trHeight w:val="287" w:hRule="exact"/>
        </w:trPr>
        <w:tc>
          <w:tcPr>
            <w:tcW w:type="dxa" w:w="24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pPr>
              <w:pStyle w:val="Body"/>
              <w:bidi w:val="0"/>
            </w:pPr>
            <w:r>
              <w:rPr>
                <w:rFonts w:ascii="Lexend Regular Light" w:cs="Arial Unicode MS" w:hAnsi="Lexend Regular Light" w:eastAsia="Arial Unicode MS"/>
                <w:rtl w:val="0"/>
              </w:rPr>
              <w:t>Human Oversight</w:t>
            </w:r>
          </w:p>
        </w:tc>
        <w:tc>
          <w:tcPr>
            <w:tcW w:type="dxa" w:w="11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10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46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r>
      <w:tr>
        <w:tblPrEx>
          <w:shd w:val="clear" w:color="auto" w:fill="auto"/>
        </w:tblPrEx>
        <w:trPr>
          <w:trHeight w:val="287" w:hRule="exact"/>
        </w:trPr>
        <w:tc>
          <w:tcPr>
            <w:tcW w:type="dxa" w:w="24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pPr>
              <w:pStyle w:val="Body"/>
              <w:bidi w:val="0"/>
            </w:pPr>
            <w:r>
              <w:rPr>
                <w:rFonts w:ascii="Lexend Regular Light" w:cs="Arial Unicode MS" w:hAnsi="Lexend Regular Light" w:eastAsia="Arial Unicode MS"/>
                <w:rtl w:val="0"/>
              </w:rPr>
              <w:t>Accountability</w:t>
            </w:r>
          </w:p>
        </w:tc>
        <w:tc>
          <w:tcPr>
            <w:tcW w:type="dxa" w:w="11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tc>
        <w:tc>
          <w:tcPr>
            <w:tcW w:type="dxa" w:w="10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tc>
        <w:tc>
          <w:tcPr>
            <w:tcW w:type="dxa" w:w="46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tc>
      </w:tr>
      <w:tr>
        <w:tblPrEx>
          <w:shd w:val="clear" w:color="auto" w:fill="auto"/>
        </w:tblPrEx>
        <w:trPr>
          <w:trHeight w:val="287" w:hRule="exact"/>
        </w:trPr>
        <w:tc>
          <w:tcPr>
            <w:tcW w:type="dxa" w:w="24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pPr>
              <w:pStyle w:val="Body"/>
              <w:bidi w:val="0"/>
            </w:pPr>
            <w:r>
              <w:rPr>
                <w:rFonts w:ascii="Lexend Regular Light" w:cs="Arial Unicode MS" w:hAnsi="Lexend Regular Light" w:eastAsia="Arial Unicode MS"/>
                <w:rtl w:val="0"/>
              </w:rPr>
              <w:t>Social Impact</w:t>
            </w:r>
          </w:p>
        </w:tc>
        <w:tc>
          <w:tcPr>
            <w:tcW w:type="dxa" w:w="11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107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46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r>
    </w:tbl>
    <w:p>
      <w:pPr>
        <w:pStyle w:val="Default"/>
        <w:suppressAutoHyphens w:val="1"/>
        <w:spacing w:before="0" w:after="320" w:line="240" w:lineRule="auto"/>
        <w:jc w:val="left"/>
        <w:rPr>
          <w:rStyle w:val="None"/>
          <w:rFonts w:ascii="Helvetica" w:cs="Helvetica" w:hAnsi="Helvetica" w:eastAsia="Helvetica"/>
          <w:b w:val="1"/>
          <w:bCs w:val="1"/>
          <w:outline w:val="0"/>
          <w:color w:val="24282d"/>
          <w:sz w:val="40"/>
          <w:szCs w:val="40"/>
          <w:shd w:val="clear" w:color="auto" w:fill="ffffff"/>
          <w14:textFill>
            <w14:solidFill>
              <w14:srgbClr w14:val="24292E"/>
            </w14:solidFill>
          </w14:textFill>
        </w:rPr>
      </w:pPr>
    </w:p>
    <w:p>
      <w:pPr>
        <w:pStyle w:val="Heading 2"/>
        <w:bidi w:val="0"/>
      </w:pPr>
      <w:r>
        <w:rPr>
          <w:rtl w:val="0"/>
        </w:rPr>
        <w:t>6. Risk Rating Methodology</w:t>
      </w:r>
    </w:p>
    <w:p>
      <w:pPr>
        <w:pStyle w:val="Body Bold"/>
        <w:bidi w:val="0"/>
        <w:rPr>
          <w:rStyle w:val="None"/>
          <w:shd w:val="clear" w:color="auto" w:fill="ffffff"/>
        </w:rPr>
      </w:pPr>
      <w:r>
        <w:rPr>
          <w:rStyle w:val="None"/>
          <w:shd w:val="clear" w:color="auto" w:fill="ffffff"/>
          <w:rtl w:val="0"/>
          <w:lang w:val="en-US"/>
        </w:rPr>
        <w:t>Risk Level Definitions:</w:t>
      </w:r>
    </w:p>
    <w:p>
      <w:pPr>
        <w:pStyle w:val="Body"/>
        <w:numPr>
          <w:ilvl w:val="0"/>
          <w:numId w:val="4"/>
        </w:numPr>
        <w:bidi w:val="0"/>
      </w:pPr>
      <w:r>
        <w:rPr>
          <w:rStyle w:val="None"/>
          <w:rFonts w:ascii="Lexend Regular Medium" w:hAnsi="Lexend Regular Medium"/>
          <w:shd w:val="clear" w:color="auto" w:fill="ffffff"/>
          <w:rtl w:val="0"/>
          <w:lang w:val="en-US"/>
        </w:rPr>
        <w:t>Low</w:t>
      </w:r>
      <w:r>
        <w:rPr>
          <w:rStyle w:val="None"/>
          <w:shd w:val="clear" w:color="auto" w:fill="ffffff"/>
          <w:rtl w:val="0"/>
          <w:lang w:val="en-US"/>
        </w:rPr>
        <w:t>: Minimal impact if risk materialises; simple controls sufficient</w:t>
      </w:r>
    </w:p>
    <w:p>
      <w:pPr>
        <w:pStyle w:val="Body"/>
        <w:numPr>
          <w:ilvl w:val="0"/>
          <w:numId w:val="4"/>
        </w:numPr>
        <w:bidi w:val="0"/>
      </w:pPr>
      <w:r>
        <w:rPr>
          <w:rStyle w:val="None"/>
          <w:rFonts w:ascii="Lexend Regular Medium" w:hAnsi="Lexend Regular Medium"/>
          <w:shd w:val="clear" w:color="auto" w:fill="ffffff"/>
          <w:rtl w:val="0"/>
        </w:rPr>
        <w:t>Medium</w:t>
      </w:r>
      <w:r>
        <w:rPr>
          <w:rStyle w:val="None"/>
          <w:shd w:val="clear" w:color="auto" w:fill="ffffff"/>
          <w:rtl w:val="0"/>
          <w:lang w:val="en-US"/>
        </w:rPr>
        <w:t>: Moderate impact if risk materialises; additional controls needed</w:t>
      </w:r>
    </w:p>
    <w:p>
      <w:pPr>
        <w:pStyle w:val="Body"/>
        <w:numPr>
          <w:ilvl w:val="0"/>
          <w:numId w:val="4"/>
        </w:numPr>
        <w:bidi w:val="0"/>
      </w:pPr>
      <w:r>
        <w:rPr>
          <w:rStyle w:val="None"/>
          <w:rFonts w:ascii="Lexend Regular Medium" w:hAnsi="Lexend Regular Medium"/>
          <w:shd w:val="clear" w:color="auto" w:fill="ffffff"/>
          <w:rtl w:val="0"/>
          <w:lang w:val="en-US"/>
        </w:rPr>
        <w:t>High</w:t>
      </w:r>
      <w:r>
        <w:rPr>
          <w:rStyle w:val="None"/>
          <w:shd w:val="clear" w:color="auto" w:fill="ffffff"/>
          <w:rtl w:val="0"/>
          <w:lang w:val="en-US"/>
        </w:rPr>
        <w:t>: Significant impact if risk materialises; comprehensive controls required</w:t>
      </w:r>
    </w:p>
    <w:p>
      <w:pPr>
        <w:pStyle w:val="Body Bold"/>
        <w:bidi w:val="0"/>
        <w:rPr>
          <w:rStyle w:val="None"/>
          <w:shd w:val="clear" w:color="auto" w:fill="ffffff"/>
        </w:rPr>
      </w:pPr>
      <w:r>
        <w:rPr>
          <w:rStyle w:val="None"/>
          <w:shd w:val="clear" w:color="auto" w:fill="ffffff"/>
          <w:rtl w:val="0"/>
          <w:lang w:val="en-US"/>
        </w:rPr>
        <w:t>Overall Risk Assessment:</w:t>
      </w:r>
    </w:p>
    <w:p>
      <w:pPr>
        <w:pStyle w:val="Body"/>
        <w:numPr>
          <w:ilvl w:val="0"/>
          <w:numId w:val="4"/>
        </w:numPr>
        <w:bidi w:val="0"/>
      </w:pPr>
      <w:r>
        <w:rPr>
          <w:rStyle w:val="None"/>
          <w:shd w:val="clear" w:color="auto" w:fill="ffffff"/>
          <w:rtl w:val="0"/>
          <w:lang w:val="en-US"/>
        </w:rPr>
        <w:t>Combined Risk Rating:</w:t>
      </w:r>
    </w:p>
    <w:p>
      <w:pPr>
        <w:pStyle w:val="Body"/>
        <w:numPr>
          <w:ilvl w:val="0"/>
          <w:numId w:val="4"/>
        </w:numPr>
        <w:bidi w:val="0"/>
      </w:pPr>
      <w:r>
        <w:rPr>
          <w:rStyle w:val="None"/>
          <w:shd w:val="clear" w:color="auto" w:fill="ffffff"/>
          <w:rtl w:val="0"/>
          <w:lang w:val="en-US"/>
        </w:rPr>
        <w:t>Primary Risk Areas:</w:t>
      </w:r>
    </w:p>
    <w:p>
      <w:pPr>
        <w:pStyle w:val="Body"/>
        <w:numPr>
          <w:ilvl w:val="0"/>
          <w:numId w:val="4"/>
        </w:numPr>
        <w:bidi w:val="0"/>
      </w:pPr>
      <w:r>
        <w:rPr>
          <w:rStyle w:val="None"/>
          <w:shd w:val="clear" w:color="auto" w:fill="ffffff"/>
          <w:rtl w:val="0"/>
          <w:lang w:val="en-US"/>
        </w:rPr>
        <w:t>Required Monitoring Frequency:</w:t>
      </w:r>
    </w:p>
    <w:p>
      <w:pPr>
        <w:pStyle w:val="Body Bold"/>
        <w:bidi w:val="0"/>
        <w:rPr>
          <w:rStyle w:val="None"/>
          <w:shd w:val="clear" w:color="auto" w:fill="ffffff"/>
        </w:rPr>
      </w:pPr>
      <w:r>
        <w:rPr>
          <w:rStyle w:val="None"/>
          <w:shd w:val="clear" w:color="auto" w:fill="ffffff"/>
          <w:rtl w:val="0"/>
          <w:lang w:val="it-IT"/>
        </w:rPr>
        <w:t>Approval:</w:t>
      </w:r>
    </w:p>
    <w:p>
      <w:pPr>
        <w:pStyle w:val="Body"/>
        <w:numPr>
          <w:ilvl w:val="0"/>
          <w:numId w:val="4"/>
        </w:numPr>
        <w:bidi w:val="0"/>
      </w:pPr>
      <w:r>
        <w:rPr>
          <w:rStyle w:val="None"/>
          <w:shd w:val="clear" w:color="auto" w:fill="ffffff"/>
          <w:rtl w:val="0"/>
          <w:lang w:val="en-US"/>
        </w:rPr>
        <w:t>Risk Assessment Approved By:</w:t>
      </w:r>
    </w:p>
    <w:p>
      <w:pPr>
        <w:pStyle w:val="Body"/>
        <w:numPr>
          <w:ilvl w:val="0"/>
          <w:numId w:val="4"/>
        </w:numPr>
        <w:bidi w:val="0"/>
      </w:pPr>
      <w:r>
        <w:rPr>
          <w:rStyle w:val="None"/>
          <w:shd w:val="clear" w:color="auto" w:fill="ffffff"/>
          <w:rtl w:val="0"/>
          <w:lang w:val="de-DE"/>
        </w:rPr>
        <w:t>Date:</w:t>
      </w:r>
    </w:p>
    <w:p>
      <w:pPr>
        <w:pStyle w:val="Body"/>
        <w:numPr>
          <w:ilvl w:val="0"/>
          <w:numId w:val="4"/>
        </w:numPr>
        <w:bidi w:val="0"/>
      </w:pPr>
      <w:r>
        <w:rPr>
          <w:rStyle w:val="None"/>
          <w:shd w:val="clear" w:color="auto" w:fill="ffffff"/>
          <w:rtl w:val="0"/>
          <w:lang w:val="en-US"/>
        </w:rPr>
        <w:t>Next Review Date:</w:t>
      </w:r>
    </w:p>
    <w:p>
      <w:pPr>
        <w:pStyle w:val="Default"/>
        <w:suppressAutoHyphens w:val="1"/>
        <w:spacing w:before="0" w:line="240" w:lineRule="auto"/>
        <w:jc w:val="left"/>
        <w:rPr>
          <w:outline w:val="0"/>
          <w:color w:val="7f7f7f"/>
          <w:sz w:val="32"/>
          <w:szCs w:val="32"/>
          <w:shd w:val="clear" w:color="auto" w:fill="e3e4e7"/>
          <w14:textFill>
            <w14:solidFill>
              <w14:srgbClr w14:val="808080"/>
            </w14:solidFill>
          </w14:textFill>
        </w:rPr>
      </w:pPr>
    </w:p>
    <w:p>
      <w:pPr>
        <w:pStyle w:val="Heading"/>
        <w:bidi w:val="0"/>
      </w:pPr>
      <w:r>
        <w:rPr>
          <w:rFonts w:ascii="Arial Unicode MS" w:cs="Arial Unicode MS" w:hAnsi="Arial Unicode MS" w:eastAsia="Arial Unicode MS"/>
          <w:b w:val="0"/>
          <w:bCs w:val="0"/>
          <w:i w:val="0"/>
          <w:iCs w:val="0"/>
        </w:rPr>
        <w:br w:type="page"/>
      </w:r>
    </w:p>
    <w:p>
      <w:pPr>
        <w:pStyle w:val="Heading"/>
        <w:bidi w:val="0"/>
        <w:rPr>
          <w:rStyle w:val="None"/>
          <w:shd w:val="clear" w:color="auto" w:fill="ffffff"/>
        </w:rPr>
      </w:pPr>
      <w:r>
        <w:rPr>
          <w:rStyle w:val="None"/>
          <w:shd w:val="clear" w:color="auto" w:fill="ffffff"/>
          <w:rtl w:val="0"/>
          <w:lang w:val="en-US"/>
        </w:rPr>
        <w:t>Appendix C: Approved AI Systems Inventory</w:t>
      </w:r>
    </w:p>
    <w:p>
      <w:pPr>
        <w:pStyle w:val="Heading 2"/>
        <w:bidi w:val="0"/>
        <w:rPr>
          <w:rStyle w:val="None"/>
          <w:shd w:val="clear" w:color="auto" w:fill="ffffff"/>
        </w:rPr>
      </w:pPr>
      <w:r>
        <w:rPr>
          <w:rStyle w:val="None"/>
          <w:shd w:val="clear" w:color="auto" w:fill="ffffff"/>
          <w:rtl w:val="0"/>
          <w:lang w:val="en-US"/>
        </w:rPr>
        <w:t>AI Systems Inventory</w:t>
      </w:r>
    </w:p>
    <w:tbl>
      <w:tblPr>
        <w:tblW w:w="9378"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231"/>
        <w:gridCol w:w="1051"/>
        <w:gridCol w:w="1632"/>
        <w:gridCol w:w="1010"/>
        <w:gridCol w:w="1207"/>
        <w:gridCol w:w="1213"/>
        <w:gridCol w:w="1111"/>
        <w:gridCol w:w="923"/>
      </w:tblGrid>
      <w:tr>
        <w:tblPrEx>
          <w:shd w:val="clear" w:color="auto" w:fill="auto"/>
        </w:tblPrEx>
        <w:trPr>
          <w:trHeight w:val="595" w:hRule="exact"/>
        </w:trPr>
        <w:tc>
          <w:tcPr>
            <w:tcW w:type="dxa" w:w="123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pPr>
              <w:pStyle w:val="Body"/>
            </w:pPr>
            <w:r>
              <w:rPr>
                <w:rFonts w:ascii="Lexend Regular Medium" w:hAnsi="Lexend Regular Medium"/>
                <w:rtl w:val="0"/>
              </w:rPr>
              <w:t>System Name</w:t>
            </w:r>
          </w:p>
        </w:tc>
        <w:tc>
          <w:tcPr>
            <w:tcW w:type="dxa" w:w="10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pPr>
              <w:pStyle w:val="Body"/>
            </w:pPr>
            <w:r>
              <w:rPr>
                <w:rFonts w:ascii="Lexend Regular Medium" w:hAnsi="Lexend Regular Medium"/>
                <w:rtl w:val="0"/>
              </w:rPr>
              <w:t>Provider</w:t>
            </w:r>
          </w:p>
        </w:tc>
        <w:tc>
          <w:tcPr>
            <w:tcW w:type="dxa" w:w="163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pPr>
              <w:pStyle w:val="Body"/>
            </w:pPr>
            <w:r>
              <w:rPr>
                <w:rFonts w:ascii="Lexend Regular Medium" w:hAnsi="Lexend Regular Medium"/>
                <w:rtl w:val="0"/>
              </w:rPr>
              <w:t>Risk Classification</w:t>
            </w:r>
          </w:p>
        </w:tc>
        <w:tc>
          <w:tcPr>
            <w:tcW w:type="dxa" w:w="10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pPr>
              <w:pStyle w:val="Body"/>
            </w:pPr>
            <w:r>
              <w:rPr>
                <w:rFonts w:ascii="Lexend Regular Medium" w:hAnsi="Lexend Regular Medium"/>
                <w:rtl w:val="0"/>
              </w:rPr>
              <w:t>Purpose</w:t>
            </w:r>
          </w:p>
        </w:tc>
        <w:tc>
          <w:tcPr>
            <w:tcW w:type="dxa" w:w="12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pPr>
              <w:pStyle w:val="Body"/>
            </w:pPr>
            <w:r>
              <w:rPr>
                <w:rFonts w:ascii="Lexend Regular Medium" w:hAnsi="Lexend Regular Medium"/>
                <w:rtl w:val="0"/>
              </w:rPr>
              <w:t>Approved Users</w:t>
            </w:r>
          </w:p>
        </w:tc>
        <w:tc>
          <w:tcPr>
            <w:tcW w:type="dxa" w:w="121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pPr>
              <w:pStyle w:val="Body"/>
            </w:pPr>
            <w:r>
              <w:rPr>
                <w:rFonts w:ascii="Lexend Regular Medium" w:hAnsi="Lexend Regular Medium"/>
                <w:rtl w:val="0"/>
              </w:rPr>
              <w:t>Approval Date</w:t>
            </w:r>
          </w:p>
        </w:tc>
        <w:tc>
          <w:tcPr>
            <w:tcW w:type="dxa" w:w="11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pPr>
              <w:pStyle w:val="Body"/>
            </w:pPr>
            <w:r>
              <w:rPr>
                <w:rFonts w:ascii="Lexend Regular Medium" w:hAnsi="Lexend Regular Medium"/>
                <w:rtl w:val="0"/>
              </w:rPr>
              <w:t>Review Date</w:t>
            </w:r>
          </w:p>
        </w:tc>
        <w:tc>
          <w:tcPr>
            <w:tcW w:type="dxa" w:w="9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pPr>
              <w:pStyle w:val="Body"/>
            </w:pPr>
            <w:r>
              <w:rPr>
                <w:rFonts w:ascii="Lexend Regular Medium" w:hAnsi="Lexend Regular Medium"/>
                <w:rtl w:val="0"/>
              </w:rPr>
              <w:t>Status</w:t>
            </w:r>
          </w:p>
        </w:tc>
      </w:tr>
      <w:tr>
        <w:tblPrEx>
          <w:shd w:val="clear" w:color="auto" w:fill="auto"/>
        </w:tblPrEx>
        <w:trPr>
          <w:trHeight w:val="447" w:hRule="exact"/>
        </w:trPr>
        <w:tc>
          <w:tcPr>
            <w:tcW w:type="dxa" w:w="123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10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163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10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12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121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11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9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r>
      <w:tr>
        <w:tblPrEx>
          <w:shd w:val="clear" w:color="auto" w:fill="auto"/>
        </w:tblPrEx>
        <w:trPr>
          <w:trHeight w:val="447" w:hRule="exact"/>
        </w:trPr>
        <w:tc>
          <w:tcPr>
            <w:tcW w:type="dxa" w:w="123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tc>
        <w:tc>
          <w:tcPr>
            <w:tcW w:type="dxa" w:w="10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tc>
        <w:tc>
          <w:tcPr>
            <w:tcW w:type="dxa" w:w="163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tc>
        <w:tc>
          <w:tcPr>
            <w:tcW w:type="dxa" w:w="10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tc>
        <w:tc>
          <w:tcPr>
            <w:tcW w:type="dxa" w:w="12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tc>
        <w:tc>
          <w:tcPr>
            <w:tcW w:type="dxa" w:w="121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tc>
        <w:tc>
          <w:tcPr>
            <w:tcW w:type="dxa" w:w="11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tc>
        <w:tc>
          <w:tcPr>
            <w:tcW w:type="dxa" w:w="9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7f7f8"/>
            <w:tcMar>
              <w:top w:type="dxa" w:w="40"/>
              <w:left w:type="dxa" w:w="40"/>
              <w:bottom w:type="dxa" w:w="40"/>
              <w:right w:type="dxa" w:w="40"/>
            </w:tcMar>
            <w:vAlign w:val="center"/>
          </w:tcPr>
          <w:p/>
        </w:tc>
      </w:tr>
      <w:tr>
        <w:tblPrEx>
          <w:shd w:val="clear" w:color="auto" w:fill="auto"/>
        </w:tblPrEx>
        <w:trPr>
          <w:trHeight w:val="447" w:hRule="exact"/>
        </w:trPr>
        <w:tc>
          <w:tcPr>
            <w:tcW w:type="dxa" w:w="123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10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163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10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120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121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111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c>
          <w:tcPr>
            <w:tcW w:type="dxa" w:w="92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40"/>
              <w:left w:type="dxa" w:w="40"/>
              <w:bottom w:type="dxa" w:w="40"/>
              <w:right w:type="dxa" w:w="40"/>
            </w:tcMar>
            <w:vAlign w:val="center"/>
          </w:tcPr>
          <w:p/>
        </w:tc>
      </w:tr>
    </w:tbl>
    <w:p>
      <w:pPr>
        <w:pStyle w:val="Default"/>
        <w:suppressAutoHyphens w:val="1"/>
        <w:spacing w:before="0" w:after="320" w:line="240" w:lineRule="auto"/>
        <w:jc w:val="left"/>
        <w:rPr>
          <w:rStyle w:val="None"/>
          <w:b w:val="1"/>
          <w:bCs w:val="1"/>
          <w:outline w:val="0"/>
          <w:color w:val="24282d"/>
          <w:sz w:val="32"/>
          <w:szCs w:val="32"/>
          <w:shd w:val="clear" w:color="auto" w:fill="ffffff"/>
          <w14:textFill>
            <w14:solidFill>
              <w14:srgbClr w14:val="24292E"/>
            </w14:solidFill>
          </w14:textFill>
        </w:rPr>
      </w:pPr>
    </w:p>
    <w:p>
      <w:pPr>
        <w:pStyle w:val="Body Bold"/>
        <w:bidi w:val="0"/>
        <w:rPr>
          <w:rStyle w:val="None"/>
          <w:shd w:val="clear" w:color="auto" w:fill="ffffff"/>
        </w:rPr>
      </w:pPr>
      <w:r>
        <w:rPr>
          <w:rStyle w:val="None"/>
          <w:shd w:val="clear" w:color="auto" w:fill="ffffff"/>
          <w:rtl w:val="0"/>
          <w:lang w:val="en-US"/>
        </w:rPr>
        <w:t>System Details Template:</w:t>
      </w:r>
    </w:p>
    <w:p>
      <w:pPr>
        <w:pStyle w:val="Body Bold"/>
        <w:bidi w:val="0"/>
      </w:pPr>
      <w:r>
        <w:rPr>
          <w:rtl w:val="0"/>
          <w:lang w:val="de-DE"/>
        </w:rPr>
        <w:t>System Name:</w:t>
      </w:r>
      <w:r>
        <w:br w:type="textWrapping"/>
      </w:r>
      <w:r>
        <w:rPr>
          <w:rtl w:val="0"/>
        </w:rPr>
        <w:t>Provider/Vendor:</w:t>
      </w:r>
      <w:r>
        <w:br w:type="textWrapping"/>
      </w:r>
      <w:r>
        <w:rPr>
          <w:rtl w:val="0"/>
          <w:lang w:val="de-DE"/>
        </w:rPr>
        <w:t>Version/Model:</w:t>
      </w:r>
      <w:r>
        <w:br w:type="textWrapping"/>
      </w:r>
      <w:r>
        <w:rPr>
          <w:rtl w:val="0"/>
        </w:rPr>
        <w:t>Risk Classification:</w:t>
      </w:r>
      <w:r>
        <w:tab/>
        <w:tab/>
      </w:r>
      <w:r>
        <w:rPr>
          <w:rStyle w:val="None"/>
          <w:rFonts w:ascii="Arial Unicode MS" w:cs="Arial Unicode MS" w:hAnsi="Arial Unicode MS" w:eastAsia="Arial Unicode MS" w:hint="default"/>
          <w:b w:val="0"/>
          <w:bCs w:val="0"/>
          <w:i w:val="0"/>
          <w:iCs w:val="0"/>
          <w:rtl w:val="0"/>
        </w:rPr>
        <w:t>□</w:t>
      </w:r>
      <w:r>
        <w:rPr>
          <w:rStyle w:val="None"/>
          <w:rFonts w:ascii="Lexend Regular Light" w:hAnsi="Lexend Regular Light"/>
          <w:rtl w:val="0"/>
        </w:rPr>
        <w:t xml:space="preserve"> </w:t>
      </w:r>
      <w:r>
        <w:rPr>
          <w:rStyle w:val="None"/>
          <w:rFonts w:ascii="Lexend Regular Light" w:hAnsi="Lexend Regular Light"/>
          <w:rtl w:val="0"/>
          <w:lang w:val="en-US"/>
        </w:rPr>
        <w:t xml:space="preserve">Low </w:t>
      </w:r>
      <w:r>
        <w:rPr>
          <w:rStyle w:val="None"/>
          <w:rFonts w:ascii="Lexend Regular Light" w:cs="Lexend Regular Light" w:hAnsi="Lexend Regular Light" w:eastAsia="Lexend Regular Light"/>
        </w:rPr>
        <w:tab/>
        <w:tab/>
      </w:r>
      <w:r>
        <w:rPr>
          <w:rStyle w:val="None"/>
          <w:rFonts w:ascii="Arial Unicode MS" w:cs="Arial Unicode MS" w:hAnsi="Arial Unicode MS" w:eastAsia="Arial Unicode MS" w:hint="default"/>
          <w:b w:val="0"/>
          <w:bCs w:val="0"/>
          <w:i w:val="0"/>
          <w:iCs w:val="0"/>
          <w:rtl w:val="0"/>
        </w:rPr>
        <w:t>□</w:t>
      </w:r>
      <w:r>
        <w:rPr>
          <w:rStyle w:val="None"/>
          <w:rFonts w:ascii="Lexend Regular Light" w:hAnsi="Lexend Regular Light"/>
          <w:rtl w:val="0"/>
        </w:rPr>
        <w:t xml:space="preserve"> </w:t>
      </w:r>
      <w:r>
        <w:rPr>
          <w:rStyle w:val="None"/>
          <w:rFonts w:ascii="Lexend Regular Light" w:hAnsi="Lexend Regular Light"/>
          <w:rtl w:val="0"/>
          <w:lang w:val="pt-PT"/>
        </w:rPr>
        <w:t xml:space="preserve">Medium </w:t>
      </w:r>
      <w:r>
        <w:rPr>
          <w:rStyle w:val="None"/>
          <w:rFonts w:ascii="Lexend Regular Light" w:cs="Lexend Regular Light" w:hAnsi="Lexend Regular Light" w:eastAsia="Lexend Regular Light"/>
        </w:rPr>
        <w:tab/>
      </w:r>
      <w:r>
        <w:rPr>
          <w:rStyle w:val="None"/>
          <w:rFonts w:ascii="Arial Unicode MS" w:cs="Arial Unicode MS" w:hAnsi="Arial Unicode MS" w:eastAsia="Arial Unicode MS" w:hint="default"/>
          <w:b w:val="0"/>
          <w:bCs w:val="0"/>
          <w:i w:val="0"/>
          <w:iCs w:val="0"/>
          <w:rtl w:val="0"/>
        </w:rPr>
        <w:t>□</w:t>
      </w:r>
      <w:r>
        <w:rPr>
          <w:rStyle w:val="None"/>
          <w:rFonts w:ascii="Lexend Regular Light" w:hAnsi="Lexend Regular Light"/>
          <w:rtl w:val="0"/>
        </w:rPr>
        <w:t xml:space="preserve"> </w:t>
      </w:r>
      <w:r>
        <w:rPr>
          <w:rStyle w:val="None"/>
          <w:rFonts w:ascii="Lexend Regular Light" w:hAnsi="Lexend Regular Light"/>
          <w:rtl w:val="0"/>
          <w:lang w:val="en-US"/>
        </w:rPr>
        <w:t>High</w:t>
      </w:r>
      <w:r>
        <w:rPr>
          <w:rStyle w:val="None"/>
          <w:rFonts w:ascii="Lexend Regular Light" w:cs="Lexend Regular Light" w:hAnsi="Lexend Regular Light" w:eastAsia="Lexend Regular Light"/>
        </w:rPr>
        <w:br w:type="textWrapping"/>
      </w:r>
      <w:r>
        <w:rPr>
          <w:rtl w:val="0"/>
          <w:lang w:val="de-DE"/>
        </w:rPr>
        <w:t xml:space="preserve">System Type: </w:t>
      </w:r>
      <w:r>
        <w:tab/>
        <w:tab/>
      </w:r>
      <w:r>
        <w:rPr>
          <w:rStyle w:val="None"/>
          <w:rFonts w:ascii="Arial Unicode MS" w:cs="Arial Unicode MS" w:hAnsi="Arial Unicode MS" w:eastAsia="Arial Unicode MS" w:hint="default"/>
          <w:b w:val="0"/>
          <w:bCs w:val="0"/>
          <w:i w:val="0"/>
          <w:iCs w:val="0"/>
          <w:rtl w:val="0"/>
        </w:rPr>
        <w:t>□</w:t>
      </w:r>
      <w:r>
        <w:rPr>
          <w:rStyle w:val="None"/>
          <w:rFonts w:ascii="Lexend Regular Light" w:hAnsi="Lexend Regular Light"/>
          <w:rtl w:val="0"/>
        </w:rPr>
        <w:t xml:space="preserve"> </w:t>
      </w:r>
      <w:r>
        <w:rPr>
          <w:rStyle w:val="None"/>
          <w:rFonts w:ascii="Lexend Regular Light" w:hAnsi="Lexend Regular Light"/>
          <w:rtl w:val="0"/>
          <w:lang w:val="en-US"/>
        </w:rPr>
        <w:t xml:space="preserve">Public AI </w:t>
      </w:r>
      <w:r>
        <w:rPr>
          <w:rStyle w:val="None"/>
          <w:rFonts w:ascii="Lexend Regular Light" w:cs="Lexend Regular Light" w:hAnsi="Lexend Regular Light" w:eastAsia="Lexend Regular Light"/>
        </w:rPr>
        <w:tab/>
      </w:r>
      <w:r>
        <w:rPr>
          <w:rStyle w:val="None"/>
          <w:rFonts w:ascii="Arial Unicode MS" w:cs="Arial Unicode MS" w:hAnsi="Arial Unicode MS" w:eastAsia="Arial Unicode MS" w:hint="default"/>
          <w:b w:val="0"/>
          <w:bCs w:val="0"/>
          <w:i w:val="0"/>
          <w:iCs w:val="0"/>
          <w:rtl w:val="0"/>
        </w:rPr>
        <w:t>□</w:t>
      </w:r>
      <w:r>
        <w:rPr>
          <w:rStyle w:val="None"/>
          <w:rFonts w:ascii="Lexend Regular Light" w:hAnsi="Lexend Regular Light"/>
          <w:rtl w:val="0"/>
        </w:rPr>
        <w:t xml:space="preserve"> </w:t>
      </w:r>
      <w:r>
        <w:rPr>
          <w:rStyle w:val="None"/>
          <w:rFonts w:ascii="Lexend Regular Light" w:hAnsi="Lexend Regular Light"/>
          <w:rtl w:val="0"/>
          <w:lang w:val="en-US"/>
        </w:rPr>
        <w:t xml:space="preserve">Private AI </w:t>
      </w:r>
      <w:r>
        <w:rPr>
          <w:rStyle w:val="None"/>
          <w:rFonts w:ascii="Lexend Regular Light" w:cs="Lexend Regular Light" w:hAnsi="Lexend Regular Light" w:eastAsia="Lexend Regular Light"/>
        </w:rPr>
        <w:tab/>
      </w:r>
      <w:r>
        <w:rPr>
          <w:rStyle w:val="None"/>
          <w:rFonts w:ascii="Arial Unicode MS" w:cs="Arial Unicode MS" w:hAnsi="Arial Unicode MS" w:eastAsia="Arial Unicode MS" w:hint="default"/>
          <w:b w:val="0"/>
          <w:bCs w:val="0"/>
          <w:i w:val="0"/>
          <w:iCs w:val="0"/>
          <w:rtl w:val="0"/>
        </w:rPr>
        <w:t>□</w:t>
      </w:r>
      <w:r>
        <w:rPr>
          <w:rStyle w:val="None"/>
          <w:rFonts w:ascii="Lexend Regular Light" w:hAnsi="Lexend Regular Light"/>
          <w:rtl w:val="0"/>
        </w:rPr>
        <w:t xml:space="preserve"> </w:t>
      </w:r>
      <w:r>
        <w:rPr>
          <w:rStyle w:val="None"/>
          <w:rFonts w:ascii="Lexend Regular Light" w:hAnsi="Lexend Regular Light"/>
          <w:rtl w:val="0"/>
          <w:lang w:val="en-US"/>
        </w:rPr>
        <w:t xml:space="preserve">Custom </w:t>
      </w:r>
      <w:r>
        <w:rPr>
          <w:rStyle w:val="None"/>
          <w:rFonts w:ascii="Lexend Regular Light" w:cs="Lexend Regular Light" w:hAnsi="Lexend Regular Light" w:eastAsia="Lexend Regular Light"/>
        </w:rPr>
        <w:tab/>
      </w:r>
      <w:r>
        <w:rPr>
          <w:rStyle w:val="None"/>
          <w:rFonts w:ascii="Arial Unicode MS" w:cs="Arial Unicode MS" w:hAnsi="Arial Unicode MS" w:eastAsia="Arial Unicode MS" w:hint="default"/>
          <w:b w:val="0"/>
          <w:bCs w:val="0"/>
          <w:i w:val="0"/>
          <w:iCs w:val="0"/>
          <w:rtl w:val="0"/>
        </w:rPr>
        <w:t>□</w:t>
      </w:r>
      <w:r>
        <w:rPr>
          <w:rStyle w:val="None"/>
          <w:rFonts w:ascii="Lexend Regular Light" w:hAnsi="Lexend Regular Light"/>
          <w:rtl w:val="0"/>
        </w:rPr>
        <w:t xml:space="preserve"> </w:t>
      </w:r>
      <w:r>
        <w:rPr>
          <w:rStyle w:val="None"/>
          <w:rFonts w:ascii="Lexend Regular Light" w:hAnsi="Lexend Regular Light"/>
          <w:rtl w:val="0"/>
          <w:lang w:val="de-DE"/>
        </w:rPr>
        <w:t>Vendor Product</w:t>
      </w:r>
      <w:r>
        <w:rPr>
          <w:rStyle w:val="None"/>
          <w:rFonts w:ascii="Lexend Regular Light" w:cs="Lexend Regular Light" w:hAnsi="Lexend Regular Light" w:eastAsia="Lexend Regular Light"/>
        </w:rPr>
        <w:br w:type="textWrapping"/>
      </w:r>
      <w:r>
        <w:rPr>
          <w:rtl w:val="0"/>
        </w:rPr>
        <w:t>Purpose:</w:t>
      </w:r>
      <w:r>
        <w:br w:type="textWrapping"/>
      </w:r>
      <w:r>
        <w:rPr>
          <w:rtl w:val="0"/>
        </w:rPr>
        <w:t>Primary Functions:</w:t>
      </w:r>
      <w:r>
        <w:br w:type="textWrapping"/>
      </w:r>
      <w:r>
        <w:rPr>
          <w:rtl w:val="0"/>
        </w:rPr>
        <w:t>Data Used:</w:t>
      </w:r>
      <w:r>
        <w:br w:type="textWrapping"/>
      </w:r>
      <w:r>
        <w:rPr>
          <w:rtl w:val="0"/>
          <w:lang w:val="it-IT"/>
        </w:rPr>
        <w:t>Data Classification:</w:t>
      </w:r>
      <w:r>
        <w:br w:type="textWrapping"/>
      </w:r>
      <w:r>
        <w:rPr>
          <w:rtl w:val="0"/>
        </w:rPr>
        <w:t>Integration Points:</w:t>
      </w:r>
      <w:r>
        <w:br w:type="textWrapping"/>
      </w:r>
      <w:r>
        <w:rPr>
          <w:rtl w:val="0"/>
        </w:rPr>
        <w:t>Approved Users/Departments:</w:t>
      </w:r>
      <w:r>
        <w:br w:type="textWrapping"/>
      </w:r>
      <w:r>
        <w:rPr>
          <w:rtl w:val="0"/>
        </w:rPr>
        <w:t>Approval History:</w:t>
      </w:r>
      <w:r>
        <w:br w:type="textWrapping"/>
      </w:r>
      <w:r>
        <w:rPr>
          <w:rtl w:val="0"/>
        </w:rPr>
        <w:t>Key Restrictions:</w:t>
      </w:r>
      <w:r>
        <w:br w:type="textWrapping"/>
      </w:r>
      <w:r>
        <w:rPr>
          <w:rtl w:val="0"/>
        </w:rPr>
        <w:t>Monitoring Requirements:</w:t>
      </w:r>
      <w:r>
        <w:br w:type="textWrapping"/>
      </w:r>
      <w:r>
        <w:rPr>
          <w:rtl w:val="0"/>
        </w:rPr>
        <w:t>Required Training:</w:t>
      </w:r>
      <w:r>
        <w:br w:type="textWrapping"/>
      </w:r>
      <w:r>
        <w:rPr>
          <w:rtl w:val="0"/>
        </w:rPr>
        <w:t>Cost Information:</w:t>
      </w:r>
      <w:r>
        <w:br w:type="textWrapping"/>
      </w:r>
      <w:r>
        <w:rPr>
          <w:rtl w:val="0"/>
        </w:rPr>
        <w:t>Contract Renewal Date:</w:t>
      </w:r>
      <w:r>
        <w:br w:type="textWrapping"/>
      </w:r>
      <w:r>
        <w:rPr>
          <w:rtl w:val="0"/>
        </w:rPr>
        <w:t>Technical Contact:</w:t>
      </w:r>
      <w:r>
        <w:br w:type="textWrapping"/>
      </w:r>
      <w:r>
        <w:rPr>
          <w:rtl w:val="0"/>
        </w:rPr>
        <w:t>Business Owner:</w:t>
      </w:r>
      <w:r>
        <w:br w:type="textWrapping"/>
      </w:r>
      <w:r>
        <w:rPr>
          <w:rtl w:val="0"/>
        </w:rPr>
        <w:t>Documentation Location:</w:t>
      </w:r>
      <w:r>
        <w:br w:type="textWrapping"/>
      </w:r>
      <w:r>
        <w:rPr>
          <w:rtl w:val="0"/>
          <w:lang w:val="de-DE"/>
        </w:rPr>
        <w:t xml:space="preserve">Status: </w:t>
      </w:r>
      <w:r>
        <w:tab/>
        <w:tab/>
        <w:tab/>
      </w:r>
      <w:r>
        <w:rPr>
          <w:rStyle w:val="None"/>
          <w:rFonts w:ascii="Arial Unicode MS" w:cs="Arial Unicode MS" w:hAnsi="Arial Unicode MS" w:eastAsia="Arial Unicode MS" w:hint="default"/>
          <w:b w:val="0"/>
          <w:bCs w:val="0"/>
          <w:i w:val="0"/>
          <w:iCs w:val="0"/>
          <w:rtl w:val="0"/>
        </w:rPr>
        <w:t>□</w:t>
      </w:r>
      <w:r>
        <w:rPr>
          <w:rStyle w:val="None"/>
          <w:rFonts w:ascii="Lexend Regular Light" w:hAnsi="Lexend Regular Light"/>
          <w:rtl w:val="0"/>
        </w:rPr>
        <w:t xml:space="preserve"> </w:t>
      </w:r>
      <w:r>
        <w:rPr>
          <w:rStyle w:val="None"/>
          <w:rFonts w:ascii="Lexend Regular Light" w:hAnsi="Lexend Regular Light"/>
          <w:rtl w:val="0"/>
          <w:lang w:val="en-US"/>
        </w:rPr>
        <w:t xml:space="preserve">Active </w:t>
      </w:r>
      <w:r>
        <w:rPr>
          <w:rStyle w:val="None"/>
          <w:rFonts w:ascii="Lexend Regular Light" w:cs="Lexend Regular Light" w:hAnsi="Lexend Regular Light" w:eastAsia="Lexend Regular Light"/>
        </w:rPr>
        <w:tab/>
      </w:r>
      <w:r>
        <w:rPr>
          <w:rStyle w:val="None"/>
          <w:rFonts w:ascii="Arial Unicode MS" w:cs="Arial Unicode MS" w:hAnsi="Arial Unicode MS" w:eastAsia="Arial Unicode MS" w:hint="default"/>
          <w:b w:val="0"/>
          <w:bCs w:val="0"/>
          <w:i w:val="0"/>
          <w:iCs w:val="0"/>
          <w:rtl w:val="0"/>
        </w:rPr>
        <w:t>□</w:t>
      </w:r>
      <w:r>
        <w:rPr>
          <w:rStyle w:val="None"/>
          <w:rFonts w:ascii="Lexend Regular Light" w:hAnsi="Lexend Regular Light"/>
          <w:rtl w:val="0"/>
        </w:rPr>
        <w:t xml:space="preserve"> </w:t>
      </w:r>
      <w:r>
        <w:rPr>
          <w:rStyle w:val="None"/>
          <w:rFonts w:ascii="Lexend Regular Light" w:hAnsi="Lexend Regular Light"/>
          <w:rtl w:val="0"/>
          <w:lang w:val="en-US"/>
        </w:rPr>
        <w:t xml:space="preserve">Suspended </w:t>
      </w:r>
      <w:r>
        <w:rPr>
          <w:rStyle w:val="None"/>
          <w:rFonts w:ascii="Lexend Regular Light" w:cs="Lexend Regular Light" w:hAnsi="Lexend Regular Light" w:eastAsia="Lexend Regular Light"/>
        </w:rPr>
        <w:tab/>
      </w:r>
      <w:r>
        <w:rPr>
          <w:rStyle w:val="None"/>
          <w:rFonts w:ascii="Arial Unicode MS" w:cs="Arial Unicode MS" w:hAnsi="Arial Unicode MS" w:eastAsia="Arial Unicode MS" w:hint="default"/>
          <w:b w:val="0"/>
          <w:bCs w:val="0"/>
          <w:i w:val="0"/>
          <w:iCs w:val="0"/>
          <w:rtl w:val="0"/>
        </w:rPr>
        <w:t>□</w:t>
      </w:r>
      <w:r>
        <w:rPr>
          <w:rStyle w:val="None"/>
          <w:rFonts w:ascii="Lexend Regular Light" w:hAnsi="Lexend Regular Light"/>
          <w:rtl w:val="0"/>
        </w:rPr>
        <w:t xml:space="preserve"> </w:t>
      </w:r>
      <w:r>
        <w:rPr>
          <w:rStyle w:val="None"/>
          <w:rFonts w:ascii="Lexend Regular Light" w:hAnsi="Lexend Regular Light"/>
          <w:rtl w:val="0"/>
          <w:lang w:val="en-US"/>
        </w:rPr>
        <w:t xml:space="preserve">Retired </w:t>
      </w:r>
      <w:r>
        <w:rPr>
          <w:rStyle w:val="None"/>
          <w:rFonts w:ascii="Lexend Regular Light" w:cs="Lexend Regular Light" w:hAnsi="Lexend Regular Light" w:eastAsia="Lexend Regular Light"/>
        </w:rPr>
        <w:tab/>
      </w:r>
      <w:r>
        <w:rPr>
          <w:rStyle w:val="None"/>
          <w:rFonts w:ascii="Arial Unicode MS" w:cs="Arial Unicode MS" w:hAnsi="Arial Unicode MS" w:eastAsia="Arial Unicode MS" w:hint="default"/>
          <w:b w:val="0"/>
          <w:bCs w:val="0"/>
          <w:i w:val="0"/>
          <w:iCs w:val="0"/>
          <w:rtl w:val="0"/>
        </w:rPr>
        <w:t>□</w:t>
      </w:r>
      <w:r>
        <w:rPr>
          <w:rStyle w:val="None"/>
          <w:rFonts w:ascii="Lexend Regular Light" w:hAnsi="Lexend Regular Light"/>
          <w:rtl w:val="0"/>
        </w:rPr>
        <w:t xml:space="preserve"> </w:t>
      </w:r>
      <w:r>
        <w:rPr>
          <w:rStyle w:val="None"/>
          <w:rFonts w:ascii="Lexend Regular Light" w:hAnsi="Lexend Regular Light"/>
          <w:rtl w:val="0"/>
          <w:lang w:val="en-US"/>
        </w:rPr>
        <w:t>Pending</w:t>
      </w:r>
      <w:r>
        <w:rPr>
          <w:rtl w:val="0"/>
        </w:rPr>
        <w:t xml:space="preserve"> </w:t>
        <w:br w:type="textWrapping"/>
      </w:r>
      <w:r>
        <w:rPr>
          <w:rtl w:val="0"/>
          <w:lang w:val="it-IT"/>
        </w:rPr>
        <w:t>Approval</w:t>
      </w:r>
    </w:p>
    <w:p>
      <w:pPr>
        <w:pStyle w:val="Default"/>
        <w:suppressAutoHyphens w:val="1"/>
        <w:spacing w:before="0" w:line="240" w:lineRule="auto"/>
        <w:jc w:val="left"/>
        <w:rPr>
          <w:outline w:val="0"/>
          <w:color w:val="7f7f7f"/>
          <w:sz w:val="32"/>
          <w:szCs w:val="32"/>
          <w:shd w:val="clear" w:color="auto" w:fill="e3e4e7"/>
          <w14:textFill>
            <w14:solidFill>
              <w14:srgbClr w14:val="808080"/>
            </w14:solidFill>
          </w14:textFill>
        </w:rPr>
      </w:pPr>
    </w:p>
    <w:p>
      <w:pPr>
        <w:pStyle w:val="Heading"/>
        <w:bidi w:val="0"/>
        <w:rPr>
          <w:rStyle w:val="None"/>
          <w:shd w:val="clear" w:color="auto" w:fill="ffffff"/>
        </w:rPr>
      </w:pPr>
      <w:r>
        <w:rPr>
          <w:rStyle w:val="None"/>
          <w:shd w:val="clear" w:color="auto" w:fill="ffffff"/>
          <w:rtl w:val="0"/>
          <w:lang w:val="da-DK"/>
        </w:rPr>
        <w:t>Appendix D: AI Incident Response Procedure</w:t>
      </w:r>
    </w:p>
    <w:p>
      <w:pPr>
        <w:pStyle w:val="Heading 2"/>
        <w:bidi w:val="0"/>
        <w:rPr>
          <w:rStyle w:val="None"/>
          <w:shd w:val="clear" w:color="auto" w:fill="ffffff"/>
        </w:rPr>
      </w:pPr>
      <w:r>
        <w:rPr>
          <w:rStyle w:val="None"/>
          <w:shd w:val="clear" w:color="auto" w:fill="ffffff"/>
          <w:rtl w:val="0"/>
          <w:lang w:val="en-US"/>
        </w:rPr>
        <w:t>AI Incident Response Procedure</w:t>
      </w:r>
    </w:p>
    <w:p>
      <w:pPr>
        <w:pStyle w:val="Heading 3"/>
        <w:bidi w:val="0"/>
      </w:pPr>
      <w:r>
        <w:rPr>
          <w:rtl w:val="0"/>
          <w:lang w:val="en-US"/>
        </w:rPr>
        <w:t>1. Purpose</w:t>
      </w:r>
    </w:p>
    <w:p>
      <w:pPr>
        <w:pStyle w:val="Body"/>
        <w:bidi w:val="0"/>
        <w:rPr>
          <w:rStyle w:val="None"/>
          <w:shd w:val="clear" w:color="auto" w:fill="ffffff"/>
        </w:rPr>
      </w:pPr>
      <w:r>
        <w:rPr>
          <w:rStyle w:val="None"/>
          <w:shd w:val="clear" w:color="auto" w:fill="ffffff"/>
          <w:rtl w:val="0"/>
          <w:lang w:val="en-US"/>
        </w:rPr>
        <w:t>This procedure outlines the steps to identify, report, contain, investigate and remediate incidents involving AI systems. It provides a structured approach for responding to issues such as data breaches, system malfunctions, biased outputs or unauthorised use.</w:t>
      </w:r>
    </w:p>
    <w:p>
      <w:pPr>
        <w:pStyle w:val="Heading 3"/>
        <w:bidi w:val="0"/>
        <w:rPr>
          <w:rStyle w:val="None"/>
          <w:shd w:val="clear" w:color="auto" w:fill="ffffff"/>
        </w:rPr>
      </w:pPr>
      <w:r>
        <w:rPr>
          <w:rStyle w:val="None"/>
          <w:shd w:val="clear" w:color="auto" w:fill="ffffff"/>
          <w:rtl w:val="0"/>
          <w:lang w:val="it-IT"/>
        </w:rPr>
        <w:t>2. Incident Classification</w:t>
      </w:r>
    </w:p>
    <w:tbl>
      <w:tblPr>
        <w:tblW w:w="9375" w:type="dxa"/>
        <w:jc w:val="left"/>
        <w:tblInd w:w="108" w:type="dxa"/>
        <w:tblBorders>
          <w:top w:val="single" w:color="929292" w:sz="4" w:space="0" w:shadow="0" w:frame="0"/>
          <w:left w:val="single" w:color="929292" w:sz="4" w:space="0" w:shadow="0" w:frame="0"/>
          <w:bottom w:val="single" w:color="929292" w:sz="4" w:space="0" w:shadow="0" w:frame="0"/>
          <w:right w:val="single" w:color="929292" w:sz="4" w:space="0" w:shadow="0" w:frame="0"/>
          <w:insideH w:val="single" w:color="929292" w:sz="4" w:space="0" w:shadow="0" w:frame="0"/>
          <w:insideV w:val="single" w:color="929292" w:sz="4" w:space="0" w:shadow="0" w:frame="0"/>
        </w:tblBorders>
        <w:shd w:val="clear" w:color="auto" w:fill="auto"/>
        <w:tblLayout w:type="fixed"/>
      </w:tblPr>
      <w:tblGrid>
        <w:gridCol w:w="1251"/>
        <w:gridCol w:w="2754"/>
        <w:gridCol w:w="2111"/>
        <w:gridCol w:w="1916"/>
        <w:gridCol w:w="1343"/>
      </w:tblGrid>
      <w:tr>
        <w:tblPrEx>
          <w:shd w:val="clear" w:color="auto" w:fill="00a2ff"/>
        </w:tblPrEx>
        <w:trPr>
          <w:trHeight w:val="535" w:hRule="atLeast"/>
        </w:trPr>
        <w:tc>
          <w:tcPr>
            <w:tcW w:type="dxa" w:w="1251"/>
            <w:tcBorders>
              <w:top w:val="single" w:color="929292" w:sz="4" w:space="0" w:shadow="0" w:frame="0"/>
              <w:left w:val="single" w:color="929292" w:sz="4" w:space="0" w:shadow="0" w:frame="0"/>
              <w:bottom w:val="single" w:color="89847f" w:sz="8" w:space="0" w:shadow="0" w:frame="0"/>
              <w:right w:val="single" w:color="ffffff" w:sz="4" w:space="0" w:shadow="0" w:frame="0"/>
            </w:tcBorders>
            <w:shd w:val="clear" w:color="auto" w:fill="ffffff"/>
            <w:tcMar>
              <w:top w:type="dxa" w:w="40"/>
              <w:left w:type="dxa" w:w="40"/>
              <w:bottom w:type="dxa" w:w="40"/>
              <w:right w:type="dxa" w:w="40"/>
            </w:tcMar>
            <w:vAlign w:val="center"/>
          </w:tcPr>
          <w:p>
            <w:pPr>
              <w:pStyle w:val="Body"/>
              <w:spacing w:line="240" w:lineRule="auto"/>
            </w:pPr>
            <w:r>
              <w:rPr>
                <w:rFonts w:ascii="Lexend Regular Bold" w:hAnsi="Lexend Regular Bold"/>
                <w:sz w:val="20"/>
                <w:szCs w:val="20"/>
                <w:rtl w:val="0"/>
              </w:rPr>
              <w:t>Severity Level</w:t>
            </w:r>
          </w:p>
        </w:tc>
        <w:tc>
          <w:tcPr>
            <w:tcW w:type="dxa" w:w="2753"/>
            <w:tcBorders>
              <w:top w:val="single" w:color="929292" w:sz="4" w:space="0" w:shadow="0" w:frame="0"/>
              <w:left w:val="single" w:color="ffffff" w:sz="4" w:space="0" w:shadow="0" w:frame="0"/>
              <w:bottom w:val="single" w:color="89847f" w:sz="8" w:space="0" w:shadow="0" w:frame="0"/>
              <w:right w:val="single" w:color="ffffff" w:sz="4" w:space="0" w:shadow="0" w:frame="0"/>
            </w:tcBorders>
            <w:shd w:val="clear" w:color="auto" w:fill="ffffff"/>
            <w:tcMar>
              <w:top w:type="dxa" w:w="40"/>
              <w:left w:type="dxa" w:w="40"/>
              <w:bottom w:type="dxa" w:w="40"/>
              <w:right w:type="dxa" w:w="40"/>
            </w:tcMar>
            <w:vAlign w:val="center"/>
          </w:tcPr>
          <w:p>
            <w:pPr>
              <w:pStyle w:val="Body"/>
              <w:spacing w:line="240" w:lineRule="auto"/>
            </w:pPr>
            <w:r>
              <w:rPr>
                <w:rFonts w:ascii="Lexend Regular Bold" w:hAnsi="Lexend Regular Bold"/>
                <w:sz w:val="20"/>
                <w:szCs w:val="20"/>
                <w:rtl w:val="0"/>
              </w:rPr>
              <w:t>Description</w:t>
            </w:r>
          </w:p>
        </w:tc>
        <w:tc>
          <w:tcPr>
            <w:tcW w:type="dxa" w:w="2110"/>
            <w:tcBorders>
              <w:top w:val="single" w:color="929292" w:sz="4" w:space="0" w:shadow="0" w:frame="0"/>
              <w:left w:val="single" w:color="ffffff" w:sz="4" w:space="0" w:shadow="0" w:frame="0"/>
              <w:bottom w:val="single" w:color="89847f" w:sz="8" w:space="0" w:shadow="0" w:frame="0"/>
              <w:right w:val="single" w:color="ffffff" w:sz="4" w:space="0" w:shadow="0" w:frame="0"/>
            </w:tcBorders>
            <w:shd w:val="clear" w:color="auto" w:fill="ffffff"/>
            <w:tcMar>
              <w:top w:type="dxa" w:w="40"/>
              <w:left w:type="dxa" w:w="40"/>
              <w:bottom w:type="dxa" w:w="40"/>
              <w:right w:type="dxa" w:w="40"/>
            </w:tcMar>
            <w:vAlign w:val="center"/>
          </w:tcPr>
          <w:p>
            <w:pPr>
              <w:pStyle w:val="Body"/>
              <w:spacing w:line="240" w:lineRule="auto"/>
            </w:pPr>
            <w:r>
              <w:rPr>
                <w:rFonts w:ascii="Lexend Regular Bold" w:hAnsi="Lexend Regular Bold"/>
                <w:sz w:val="20"/>
                <w:szCs w:val="20"/>
                <w:rtl w:val="0"/>
              </w:rPr>
              <w:t>Example</w:t>
            </w:r>
          </w:p>
        </w:tc>
        <w:tc>
          <w:tcPr>
            <w:tcW w:type="dxa" w:w="1916"/>
            <w:tcBorders>
              <w:top w:val="single" w:color="929292" w:sz="4" w:space="0" w:shadow="0" w:frame="0"/>
              <w:left w:val="single" w:color="ffffff" w:sz="4" w:space="0" w:shadow="0" w:frame="0"/>
              <w:bottom w:val="single" w:color="89847f" w:sz="8" w:space="0" w:shadow="0" w:frame="0"/>
              <w:right w:val="single" w:color="ffffff" w:sz="4" w:space="0" w:shadow="0" w:frame="0"/>
            </w:tcBorders>
            <w:shd w:val="clear" w:color="auto" w:fill="ffffff"/>
            <w:tcMar>
              <w:top w:type="dxa" w:w="40"/>
              <w:left w:type="dxa" w:w="40"/>
              <w:bottom w:type="dxa" w:w="40"/>
              <w:right w:type="dxa" w:w="40"/>
            </w:tcMar>
            <w:vAlign w:val="center"/>
          </w:tcPr>
          <w:p>
            <w:pPr>
              <w:pStyle w:val="Body"/>
              <w:spacing w:line="240" w:lineRule="auto"/>
            </w:pPr>
            <w:r>
              <w:rPr>
                <w:rFonts w:ascii="Lexend Regular Bold" w:hAnsi="Lexend Regular Bold"/>
                <w:sz w:val="20"/>
                <w:szCs w:val="20"/>
                <w:rtl w:val="0"/>
              </w:rPr>
              <w:t>Response Time</w:t>
            </w:r>
          </w:p>
        </w:tc>
        <w:tc>
          <w:tcPr>
            <w:tcW w:type="dxa" w:w="1342"/>
            <w:tcBorders>
              <w:top w:val="single" w:color="929292" w:sz="4" w:space="0" w:shadow="0" w:frame="0"/>
              <w:left w:val="single" w:color="ffffff" w:sz="4" w:space="0" w:shadow="0" w:frame="0"/>
              <w:bottom w:val="single" w:color="89847f" w:sz="8" w:space="0" w:shadow="0" w:frame="0"/>
              <w:right w:val="single" w:color="929292" w:sz="4" w:space="0" w:shadow="0" w:frame="0"/>
            </w:tcBorders>
            <w:shd w:val="clear" w:color="auto" w:fill="ffffff"/>
            <w:tcMar>
              <w:top w:type="dxa" w:w="40"/>
              <w:left w:type="dxa" w:w="40"/>
              <w:bottom w:type="dxa" w:w="40"/>
              <w:right w:type="dxa" w:w="40"/>
            </w:tcMar>
            <w:vAlign w:val="center"/>
          </w:tcPr>
          <w:p>
            <w:pPr>
              <w:pStyle w:val="Body"/>
              <w:spacing w:line="240" w:lineRule="auto"/>
            </w:pPr>
            <w:r>
              <w:rPr>
                <w:rFonts w:ascii="Lexend Regular Bold" w:hAnsi="Lexend Regular Bold"/>
                <w:sz w:val="20"/>
                <w:szCs w:val="20"/>
                <w:rtl w:val="0"/>
              </w:rPr>
              <w:t>Escalation Path</w:t>
            </w:r>
          </w:p>
        </w:tc>
      </w:tr>
      <w:tr>
        <w:tblPrEx>
          <w:shd w:val="clear" w:color="auto" w:fill="auto"/>
        </w:tblPrEx>
        <w:trPr>
          <w:trHeight w:val="1315" w:hRule="atLeast"/>
        </w:trPr>
        <w:tc>
          <w:tcPr>
            <w:tcW w:type="dxa" w:w="1251"/>
            <w:tcBorders>
              <w:top w:val="single" w:color="89847f" w:sz="8" w:space="0" w:shadow="0" w:frame="0"/>
              <w:left w:val="single" w:color="929292" w:sz="4" w:space="0" w:shadow="0" w:frame="0"/>
              <w:bottom w:val="single" w:color="929292" w:sz="4" w:space="0" w:shadow="0" w:frame="0"/>
              <w:right w:val="single" w:color="929292" w:sz="4" w:space="0" w:shadow="0" w:frame="0"/>
            </w:tcBorders>
            <w:shd w:val="clear" w:color="auto" w:fill="ffffff"/>
            <w:tcMar>
              <w:top w:type="dxa" w:w="40"/>
              <w:left w:type="dxa" w:w="40"/>
              <w:bottom w:type="dxa" w:w="40"/>
              <w:right w:type="dxa" w:w="40"/>
            </w:tcMar>
            <w:vAlign w:val="center"/>
          </w:tcPr>
          <w:p>
            <w:pPr>
              <w:pStyle w:val="Body"/>
              <w:spacing w:line="240" w:lineRule="auto"/>
            </w:pPr>
            <w:r>
              <w:rPr>
                <w:rFonts w:ascii="Lexend Regular Light" w:hAnsi="Lexend Regular Light"/>
                <w:sz w:val="20"/>
                <w:szCs w:val="20"/>
                <w:rtl w:val="0"/>
              </w:rPr>
              <w:t>Critical</w:t>
            </w:r>
          </w:p>
        </w:tc>
        <w:tc>
          <w:tcPr>
            <w:tcW w:type="dxa" w:w="2753"/>
            <w:tcBorders>
              <w:top w:val="single" w:color="89847f" w:sz="8" w:space="0" w:shadow="0" w:frame="0"/>
              <w:left w:val="single" w:color="929292" w:sz="4" w:space="0" w:shadow="0" w:frame="0"/>
              <w:bottom w:val="single" w:color="929292" w:sz="4" w:space="0" w:shadow="0" w:frame="0"/>
              <w:right w:val="single" w:color="929292" w:sz="4" w:space="0" w:shadow="0" w:frame="0"/>
            </w:tcBorders>
            <w:shd w:val="clear" w:color="auto" w:fill="ffffff"/>
            <w:tcMar>
              <w:top w:type="dxa" w:w="40"/>
              <w:left w:type="dxa" w:w="40"/>
              <w:bottom w:type="dxa" w:w="40"/>
              <w:right w:type="dxa" w:w="40"/>
            </w:tcMar>
            <w:vAlign w:val="center"/>
          </w:tcPr>
          <w:p>
            <w:pPr>
              <w:pStyle w:val="Body"/>
              <w:spacing w:line="240" w:lineRule="auto"/>
            </w:pPr>
            <w:r>
              <w:rPr>
                <w:rFonts w:ascii="Lexend Regular Light" w:hAnsi="Lexend Regular Light"/>
                <w:sz w:val="20"/>
                <w:szCs w:val="20"/>
                <w:rtl w:val="0"/>
              </w:rPr>
              <w:t>Significant harm to individuals, major operational disruption, serious regulatory breach</w:t>
            </w:r>
          </w:p>
        </w:tc>
        <w:tc>
          <w:tcPr>
            <w:tcW w:type="dxa" w:w="2110"/>
            <w:tcBorders>
              <w:top w:val="single" w:color="89847f" w:sz="8" w:space="0" w:shadow="0" w:frame="0"/>
              <w:left w:val="single" w:color="929292" w:sz="4" w:space="0" w:shadow="0" w:frame="0"/>
              <w:bottom w:val="single" w:color="929292" w:sz="4" w:space="0" w:shadow="0" w:frame="0"/>
              <w:right w:val="single" w:color="929292" w:sz="4" w:space="0" w:shadow="0" w:frame="0"/>
            </w:tcBorders>
            <w:shd w:val="clear" w:color="auto" w:fill="ffffff"/>
            <w:tcMar>
              <w:top w:type="dxa" w:w="40"/>
              <w:left w:type="dxa" w:w="40"/>
              <w:bottom w:type="dxa" w:w="40"/>
              <w:right w:type="dxa" w:w="40"/>
            </w:tcMar>
            <w:vAlign w:val="center"/>
          </w:tcPr>
          <w:p>
            <w:pPr>
              <w:pStyle w:val="Body"/>
              <w:spacing w:line="240" w:lineRule="auto"/>
            </w:pPr>
            <w:r>
              <w:rPr>
                <w:rFonts w:ascii="Lexend Regular Light" w:hAnsi="Lexend Regular Light"/>
                <w:sz w:val="20"/>
                <w:szCs w:val="20"/>
                <w:rtl w:val="0"/>
              </w:rPr>
              <w:t>AI system making unauthorised financial decisions, exposing sensitive personal data</w:t>
            </w:r>
          </w:p>
        </w:tc>
        <w:tc>
          <w:tcPr>
            <w:tcW w:type="dxa" w:w="1916"/>
            <w:tcBorders>
              <w:top w:val="single" w:color="89847f" w:sz="8" w:space="0" w:shadow="0" w:frame="0"/>
              <w:left w:val="single" w:color="929292" w:sz="4" w:space="0" w:shadow="0" w:frame="0"/>
              <w:bottom w:val="single" w:color="929292" w:sz="4" w:space="0" w:shadow="0" w:frame="0"/>
              <w:right w:val="single" w:color="929292" w:sz="4" w:space="0" w:shadow="0" w:frame="0"/>
            </w:tcBorders>
            <w:shd w:val="clear" w:color="auto" w:fill="ffffff"/>
            <w:tcMar>
              <w:top w:type="dxa" w:w="40"/>
              <w:left w:type="dxa" w:w="40"/>
              <w:bottom w:type="dxa" w:w="40"/>
              <w:right w:type="dxa" w:w="40"/>
            </w:tcMar>
            <w:vAlign w:val="center"/>
          </w:tcPr>
          <w:p>
            <w:pPr>
              <w:pStyle w:val="Body"/>
              <w:spacing w:line="240" w:lineRule="auto"/>
            </w:pPr>
            <w:r>
              <w:rPr>
                <w:rFonts w:ascii="Lexend Regular Light" w:hAnsi="Lexend Regular Light"/>
                <w:sz w:val="20"/>
                <w:szCs w:val="20"/>
                <w:rtl w:val="0"/>
              </w:rPr>
              <w:t>Immediate (within 1 hour)</w:t>
            </w:r>
          </w:p>
        </w:tc>
        <w:tc>
          <w:tcPr>
            <w:tcW w:type="dxa" w:w="1342"/>
            <w:tcBorders>
              <w:top w:val="single" w:color="89847f" w:sz="8" w:space="0" w:shadow="0" w:frame="0"/>
              <w:left w:val="single" w:color="929292" w:sz="4" w:space="0" w:shadow="0" w:frame="0"/>
              <w:bottom w:val="single" w:color="929292" w:sz="4" w:space="0" w:shadow="0" w:frame="0"/>
              <w:right w:val="single" w:color="929292" w:sz="4" w:space="0" w:shadow="0" w:frame="0"/>
            </w:tcBorders>
            <w:shd w:val="clear" w:color="auto" w:fill="ffffff"/>
            <w:tcMar>
              <w:top w:type="dxa" w:w="40"/>
              <w:left w:type="dxa" w:w="40"/>
              <w:bottom w:type="dxa" w:w="40"/>
              <w:right w:type="dxa" w:w="40"/>
            </w:tcMar>
            <w:vAlign w:val="center"/>
          </w:tcPr>
          <w:p>
            <w:pPr>
              <w:pStyle w:val="Body"/>
              <w:spacing w:line="240" w:lineRule="auto"/>
            </w:pPr>
            <w:r>
              <w:rPr>
                <w:rFonts w:ascii="Lexend Regular Light" w:hAnsi="Lexend Regular Light"/>
                <w:sz w:val="20"/>
                <w:szCs w:val="20"/>
                <w:rtl w:val="0"/>
              </w:rPr>
              <w:t>CISO, DPO, CEO</w:t>
            </w:r>
          </w:p>
        </w:tc>
      </w:tr>
      <w:tr>
        <w:tblPrEx>
          <w:shd w:val="clear" w:color="auto" w:fill="auto"/>
        </w:tblPrEx>
        <w:trPr>
          <w:trHeight w:val="1310" w:hRule="atLeast"/>
        </w:trPr>
        <w:tc>
          <w:tcPr>
            <w:tcW w:type="dxa" w:w="1251"/>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8"/>
            <w:tcMar>
              <w:top w:type="dxa" w:w="40"/>
              <w:left w:type="dxa" w:w="40"/>
              <w:bottom w:type="dxa" w:w="40"/>
              <w:right w:type="dxa" w:w="40"/>
            </w:tcMar>
            <w:vAlign w:val="center"/>
          </w:tcPr>
          <w:p>
            <w:pPr>
              <w:pStyle w:val="Body"/>
              <w:spacing w:line="240" w:lineRule="auto"/>
            </w:pPr>
            <w:r>
              <w:rPr>
                <w:rFonts w:ascii="Lexend Regular Light" w:hAnsi="Lexend Regular Light"/>
                <w:sz w:val="20"/>
                <w:szCs w:val="20"/>
                <w:rtl w:val="0"/>
              </w:rPr>
              <w:t>High</w:t>
            </w:r>
          </w:p>
        </w:tc>
        <w:tc>
          <w:tcPr>
            <w:tcW w:type="dxa" w:w="275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8"/>
            <w:tcMar>
              <w:top w:type="dxa" w:w="40"/>
              <w:left w:type="dxa" w:w="40"/>
              <w:bottom w:type="dxa" w:w="40"/>
              <w:right w:type="dxa" w:w="40"/>
            </w:tcMar>
            <w:vAlign w:val="center"/>
          </w:tcPr>
          <w:p>
            <w:pPr>
              <w:pStyle w:val="Body"/>
              <w:spacing w:line="240" w:lineRule="auto"/>
            </w:pPr>
            <w:r>
              <w:rPr>
                <w:rFonts w:ascii="Lexend Regular Light" w:hAnsi="Lexend Regular Light"/>
                <w:sz w:val="20"/>
                <w:szCs w:val="20"/>
                <w:rtl w:val="0"/>
              </w:rPr>
              <w:t>Potential harm to individuals, notable operational impact, possible regulatory issue</w:t>
            </w:r>
          </w:p>
        </w:tc>
        <w:tc>
          <w:tcPr>
            <w:tcW w:type="dxa" w:w="211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8"/>
            <w:tcMar>
              <w:top w:type="dxa" w:w="40"/>
              <w:left w:type="dxa" w:w="40"/>
              <w:bottom w:type="dxa" w:w="40"/>
              <w:right w:type="dxa" w:w="40"/>
            </w:tcMar>
            <w:vAlign w:val="center"/>
          </w:tcPr>
          <w:p>
            <w:pPr>
              <w:pStyle w:val="Body"/>
              <w:spacing w:line="240" w:lineRule="auto"/>
            </w:pPr>
            <w:r>
              <w:rPr>
                <w:rFonts w:ascii="Lexend Regular Light" w:hAnsi="Lexend Regular Light"/>
                <w:sz w:val="20"/>
                <w:szCs w:val="20"/>
                <w:rtl w:val="0"/>
              </w:rPr>
              <w:t>Biased outputs affecting decisions, system providing dangerous recommendations</w:t>
            </w:r>
          </w:p>
        </w:tc>
        <w:tc>
          <w:tcPr>
            <w:tcW w:type="dxa" w:w="1916"/>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8"/>
            <w:tcMar>
              <w:top w:type="dxa" w:w="40"/>
              <w:left w:type="dxa" w:w="40"/>
              <w:bottom w:type="dxa" w:w="40"/>
              <w:right w:type="dxa" w:w="40"/>
            </w:tcMar>
            <w:vAlign w:val="center"/>
          </w:tcPr>
          <w:p>
            <w:pPr>
              <w:pStyle w:val="Body"/>
              <w:spacing w:line="240" w:lineRule="auto"/>
            </w:pPr>
            <w:r>
              <w:rPr>
                <w:rFonts w:ascii="Lexend Regular Light" w:hAnsi="Lexend Regular Light"/>
                <w:sz w:val="20"/>
                <w:szCs w:val="20"/>
                <w:rtl w:val="0"/>
              </w:rPr>
              <w:t>Within 4 hours</w:t>
            </w:r>
          </w:p>
        </w:tc>
        <w:tc>
          <w:tcPr>
            <w:tcW w:type="dxa" w:w="1342"/>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8"/>
            <w:tcMar>
              <w:top w:type="dxa" w:w="40"/>
              <w:left w:type="dxa" w:w="40"/>
              <w:bottom w:type="dxa" w:w="40"/>
              <w:right w:type="dxa" w:w="40"/>
            </w:tcMar>
            <w:vAlign w:val="center"/>
          </w:tcPr>
          <w:p>
            <w:pPr>
              <w:pStyle w:val="Body"/>
              <w:spacing w:line="240" w:lineRule="auto"/>
            </w:pPr>
            <w:r>
              <w:rPr>
                <w:rFonts w:ascii="Lexend Regular Light" w:hAnsi="Lexend Regular Light"/>
                <w:sz w:val="20"/>
                <w:szCs w:val="20"/>
                <w:rtl w:val="0"/>
              </w:rPr>
              <w:t>IT Director, Department Head</w:t>
            </w:r>
          </w:p>
        </w:tc>
      </w:tr>
      <w:tr>
        <w:tblPrEx>
          <w:shd w:val="clear" w:color="auto" w:fill="auto"/>
        </w:tblPrEx>
        <w:trPr>
          <w:trHeight w:val="1307" w:hRule="atLeast"/>
        </w:trPr>
        <w:tc>
          <w:tcPr>
            <w:tcW w:type="dxa" w:w="1251"/>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fffff"/>
            <w:tcMar>
              <w:top w:type="dxa" w:w="40"/>
              <w:left w:type="dxa" w:w="40"/>
              <w:bottom w:type="dxa" w:w="40"/>
              <w:right w:type="dxa" w:w="40"/>
            </w:tcMar>
            <w:vAlign w:val="center"/>
          </w:tcPr>
          <w:p>
            <w:pPr>
              <w:pStyle w:val="Body"/>
              <w:spacing w:line="240" w:lineRule="auto"/>
            </w:pPr>
            <w:r>
              <w:rPr>
                <w:rFonts w:ascii="Lexend Regular Light" w:hAnsi="Lexend Regular Light"/>
                <w:sz w:val="20"/>
                <w:szCs w:val="20"/>
                <w:rtl w:val="0"/>
              </w:rPr>
              <w:t>Medium</w:t>
            </w:r>
          </w:p>
        </w:tc>
        <w:tc>
          <w:tcPr>
            <w:tcW w:type="dxa" w:w="275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fffff"/>
            <w:tcMar>
              <w:top w:type="dxa" w:w="40"/>
              <w:left w:type="dxa" w:w="40"/>
              <w:bottom w:type="dxa" w:w="40"/>
              <w:right w:type="dxa" w:w="40"/>
            </w:tcMar>
            <w:vAlign w:val="center"/>
          </w:tcPr>
          <w:p>
            <w:pPr>
              <w:pStyle w:val="Body"/>
              <w:spacing w:line="240" w:lineRule="auto"/>
            </w:pPr>
            <w:r>
              <w:rPr>
                <w:rFonts w:ascii="Lexend Regular Light" w:hAnsi="Lexend Regular Light"/>
                <w:sz w:val="20"/>
                <w:szCs w:val="20"/>
                <w:rtl w:val="0"/>
              </w:rPr>
              <w:t>Limited impact, moderate disruption, potential reputation concerns</w:t>
            </w:r>
          </w:p>
        </w:tc>
        <w:tc>
          <w:tcPr>
            <w:tcW w:type="dxa" w:w="211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fffff"/>
            <w:tcMar>
              <w:top w:type="dxa" w:w="40"/>
              <w:left w:type="dxa" w:w="40"/>
              <w:bottom w:type="dxa" w:w="40"/>
              <w:right w:type="dxa" w:w="40"/>
            </w:tcMar>
            <w:vAlign w:val="center"/>
          </w:tcPr>
          <w:p>
            <w:pPr>
              <w:pStyle w:val="Body"/>
              <w:spacing w:line="240" w:lineRule="auto"/>
            </w:pPr>
            <w:r>
              <w:rPr>
                <w:rFonts w:ascii="Lexend Regular Light" w:hAnsi="Lexend Regular Light"/>
                <w:sz w:val="20"/>
                <w:szCs w:val="20"/>
                <w:rtl w:val="0"/>
              </w:rPr>
              <w:t>System outage affecting productivity, minor data exposure</w:t>
            </w:r>
          </w:p>
        </w:tc>
        <w:tc>
          <w:tcPr>
            <w:tcW w:type="dxa" w:w="1916"/>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fffff"/>
            <w:tcMar>
              <w:top w:type="dxa" w:w="40"/>
              <w:left w:type="dxa" w:w="40"/>
              <w:bottom w:type="dxa" w:w="40"/>
              <w:right w:type="dxa" w:w="40"/>
            </w:tcMar>
            <w:vAlign w:val="center"/>
          </w:tcPr>
          <w:p>
            <w:pPr>
              <w:pStyle w:val="Body"/>
              <w:spacing w:line="240" w:lineRule="auto"/>
            </w:pPr>
            <w:r>
              <w:rPr>
                <w:rFonts w:ascii="Lexend Regular Light" w:hAnsi="Lexend Regular Light"/>
                <w:sz w:val="20"/>
                <w:szCs w:val="20"/>
                <w:rtl w:val="0"/>
              </w:rPr>
              <w:t>Within 24 hours</w:t>
            </w:r>
          </w:p>
        </w:tc>
        <w:tc>
          <w:tcPr>
            <w:tcW w:type="dxa" w:w="1342"/>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fffff"/>
            <w:tcMar>
              <w:top w:type="dxa" w:w="40"/>
              <w:left w:type="dxa" w:w="40"/>
              <w:bottom w:type="dxa" w:w="40"/>
              <w:right w:type="dxa" w:w="40"/>
            </w:tcMar>
            <w:vAlign w:val="center"/>
          </w:tcPr>
          <w:p>
            <w:pPr>
              <w:pStyle w:val="Body"/>
              <w:spacing w:line="240" w:lineRule="auto"/>
            </w:pPr>
            <w:r>
              <w:rPr>
                <w:rFonts w:ascii="Lexend Regular Light" w:hAnsi="Lexend Regular Light"/>
                <w:sz w:val="20"/>
                <w:szCs w:val="20"/>
                <w:rtl w:val="0"/>
              </w:rPr>
              <w:t>AI Governance Committee</w:t>
            </w:r>
          </w:p>
        </w:tc>
      </w:tr>
      <w:tr>
        <w:tblPrEx>
          <w:shd w:val="clear" w:color="auto" w:fill="auto"/>
        </w:tblPrEx>
        <w:trPr>
          <w:trHeight w:val="790" w:hRule="atLeast"/>
        </w:trPr>
        <w:tc>
          <w:tcPr>
            <w:tcW w:type="dxa" w:w="1251"/>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8"/>
            <w:tcMar>
              <w:top w:type="dxa" w:w="40"/>
              <w:left w:type="dxa" w:w="40"/>
              <w:bottom w:type="dxa" w:w="40"/>
              <w:right w:type="dxa" w:w="40"/>
            </w:tcMar>
            <w:vAlign w:val="center"/>
          </w:tcPr>
          <w:p>
            <w:pPr>
              <w:pStyle w:val="Body"/>
              <w:spacing w:line="240" w:lineRule="auto"/>
            </w:pPr>
            <w:r>
              <w:rPr>
                <w:rFonts w:ascii="Lexend Regular Light" w:hAnsi="Lexend Regular Light"/>
                <w:sz w:val="20"/>
                <w:szCs w:val="20"/>
                <w:rtl w:val="0"/>
              </w:rPr>
              <w:t>Low</w:t>
            </w:r>
          </w:p>
        </w:tc>
        <w:tc>
          <w:tcPr>
            <w:tcW w:type="dxa" w:w="275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8"/>
            <w:tcMar>
              <w:top w:type="dxa" w:w="40"/>
              <w:left w:type="dxa" w:w="40"/>
              <w:bottom w:type="dxa" w:w="40"/>
              <w:right w:type="dxa" w:w="40"/>
            </w:tcMar>
            <w:vAlign w:val="center"/>
          </w:tcPr>
          <w:p>
            <w:pPr>
              <w:pStyle w:val="Body"/>
              <w:spacing w:line="240" w:lineRule="auto"/>
            </w:pPr>
            <w:r>
              <w:rPr>
                <w:rFonts w:ascii="Lexend Regular Light" w:hAnsi="Lexend Regular Light"/>
                <w:sz w:val="20"/>
                <w:szCs w:val="20"/>
                <w:rtl w:val="0"/>
              </w:rPr>
              <w:t>Minimal impact, isolated incident, no sensitive data involved</w:t>
            </w:r>
          </w:p>
        </w:tc>
        <w:tc>
          <w:tcPr>
            <w:tcW w:type="dxa" w:w="211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8"/>
            <w:tcMar>
              <w:top w:type="dxa" w:w="40"/>
              <w:left w:type="dxa" w:w="40"/>
              <w:bottom w:type="dxa" w:w="40"/>
              <w:right w:type="dxa" w:w="40"/>
            </w:tcMar>
            <w:vAlign w:val="center"/>
          </w:tcPr>
          <w:p>
            <w:pPr>
              <w:pStyle w:val="Body"/>
              <w:spacing w:line="240" w:lineRule="auto"/>
            </w:pPr>
            <w:r>
              <w:rPr>
                <w:rFonts w:ascii="Lexend Regular Light" w:hAnsi="Lexend Regular Light"/>
                <w:sz w:val="20"/>
                <w:szCs w:val="20"/>
                <w:rtl w:val="0"/>
              </w:rPr>
              <w:t>Occasional inaccurate outputs, performance issues</w:t>
            </w:r>
          </w:p>
        </w:tc>
        <w:tc>
          <w:tcPr>
            <w:tcW w:type="dxa" w:w="1916"/>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8"/>
            <w:tcMar>
              <w:top w:type="dxa" w:w="40"/>
              <w:left w:type="dxa" w:w="40"/>
              <w:bottom w:type="dxa" w:w="40"/>
              <w:right w:type="dxa" w:w="40"/>
            </w:tcMar>
            <w:vAlign w:val="center"/>
          </w:tcPr>
          <w:p>
            <w:pPr>
              <w:pStyle w:val="Body"/>
              <w:spacing w:line="240" w:lineRule="auto"/>
            </w:pPr>
            <w:r>
              <w:rPr>
                <w:rFonts w:ascii="Lexend Regular Light" w:hAnsi="Lexend Regular Light"/>
                <w:sz w:val="20"/>
                <w:szCs w:val="20"/>
                <w:rtl w:val="0"/>
              </w:rPr>
              <w:t>Within 72 hours</w:t>
            </w:r>
          </w:p>
        </w:tc>
        <w:tc>
          <w:tcPr>
            <w:tcW w:type="dxa" w:w="1342"/>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8"/>
            <w:tcMar>
              <w:top w:type="dxa" w:w="40"/>
              <w:left w:type="dxa" w:w="40"/>
              <w:bottom w:type="dxa" w:w="40"/>
              <w:right w:type="dxa" w:w="40"/>
            </w:tcMar>
            <w:vAlign w:val="center"/>
          </w:tcPr>
          <w:p>
            <w:pPr>
              <w:pStyle w:val="Body"/>
              <w:spacing w:line="240" w:lineRule="auto"/>
            </w:pPr>
            <w:r>
              <w:rPr>
                <w:rFonts w:ascii="Lexend Regular Light" w:hAnsi="Lexend Regular Light"/>
                <w:sz w:val="20"/>
                <w:szCs w:val="20"/>
                <w:rtl w:val="0"/>
              </w:rPr>
              <w:t>System Owner</w:t>
            </w:r>
          </w:p>
        </w:tc>
      </w:tr>
    </w:tbl>
    <w:p>
      <w:pPr>
        <w:pStyle w:val="Default"/>
        <w:suppressAutoHyphens w:val="1"/>
        <w:spacing w:before="0" w:after="320" w:line="240" w:lineRule="auto"/>
        <w:jc w:val="left"/>
        <w:rPr>
          <w:rStyle w:val="None"/>
          <w:b w:val="0"/>
          <w:bCs w:val="0"/>
          <w:outline w:val="0"/>
          <w:color w:val="24282d"/>
          <w:sz w:val="32"/>
          <w:szCs w:val="32"/>
          <w:shd w:val="clear" w:color="auto" w:fill="ffffff"/>
          <w14:textFill>
            <w14:solidFill>
              <w14:srgbClr w14:val="24292E"/>
            </w14:solidFill>
          </w14:textFill>
        </w:rPr>
      </w:pPr>
    </w:p>
    <w:p>
      <w:pPr>
        <w:pStyle w:val="Heading 3"/>
        <w:bidi w:val="0"/>
        <w:rPr>
          <w:rStyle w:val="None"/>
          <w:shd w:val="clear" w:color="auto" w:fill="ffffff"/>
        </w:rPr>
      </w:pPr>
      <w:r>
        <w:rPr>
          <w:rStyle w:val="None"/>
          <w:shd w:val="clear" w:color="auto" w:fill="ffffff"/>
          <w:rtl w:val="0"/>
          <w:lang w:val="en-US"/>
        </w:rPr>
        <w:t>3. Incident Response Team Roles</w:t>
      </w:r>
    </w:p>
    <w:p>
      <w:pPr>
        <w:pStyle w:val="Body"/>
        <w:numPr>
          <w:ilvl w:val="0"/>
          <w:numId w:val="4"/>
        </w:numPr>
        <w:bidi w:val="0"/>
      </w:pPr>
      <w:r>
        <w:rPr>
          <w:rStyle w:val="None"/>
          <w:rFonts w:ascii="Lexend Regular Medium" w:hAnsi="Lexend Regular Medium"/>
          <w:shd w:val="clear" w:color="auto" w:fill="ffffff"/>
          <w:rtl w:val="0"/>
          <w:lang w:val="nl-NL"/>
        </w:rPr>
        <w:t>Incident Coordinator</w:t>
      </w:r>
      <w:r>
        <w:rPr>
          <w:rStyle w:val="None"/>
          <w:shd w:val="clear" w:color="auto" w:fill="ffffff"/>
          <w:rtl w:val="0"/>
          <w:lang w:val="en-US"/>
        </w:rPr>
        <w:t>: Manages overall response, coordinates team activities</w:t>
      </w:r>
    </w:p>
    <w:p>
      <w:pPr>
        <w:pStyle w:val="Body"/>
        <w:numPr>
          <w:ilvl w:val="0"/>
          <w:numId w:val="4"/>
        </w:numPr>
        <w:bidi w:val="0"/>
      </w:pPr>
      <w:r>
        <w:rPr>
          <w:rStyle w:val="None"/>
          <w:rFonts w:ascii="Lexend Regular Medium" w:hAnsi="Lexend Regular Medium"/>
          <w:shd w:val="clear" w:color="auto" w:fill="ffffff"/>
          <w:rtl w:val="0"/>
          <w:lang w:val="en-US"/>
        </w:rPr>
        <w:t>Technical Investigator</w:t>
      </w:r>
      <w:r>
        <w:rPr>
          <w:rStyle w:val="None"/>
          <w:shd w:val="clear" w:color="auto" w:fill="ffffff"/>
          <w:rtl w:val="0"/>
          <w:lang w:val="en-US"/>
        </w:rPr>
        <w:t>: Analyses technical aspects of the incident</w:t>
      </w:r>
    </w:p>
    <w:p>
      <w:pPr>
        <w:pStyle w:val="Body"/>
        <w:numPr>
          <w:ilvl w:val="0"/>
          <w:numId w:val="4"/>
        </w:numPr>
        <w:bidi w:val="0"/>
      </w:pPr>
      <w:r>
        <w:rPr>
          <w:rStyle w:val="None"/>
          <w:rFonts w:ascii="Lexend Regular Medium" w:hAnsi="Lexend Regular Medium"/>
          <w:shd w:val="clear" w:color="auto" w:fill="ffffff"/>
          <w:rtl w:val="0"/>
          <w:lang w:val="en-US"/>
        </w:rPr>
        <w:t>Data Protection Officer</w:t>
      </w:r>
      <w:r>
        <w:rPr>
          <w:rStyle w:val="None"/>
          <w:shd w:val="clear" w:color="auto" w:fill="ffffff"/>
          <w:rtl w:val="0"/>
          <w:lang w:val="en-US"/>
        </w:rPr>
        <w:t>: Assesses data protection implications</w:t>
      </w:r>
    </w:p>
    <w:p>
      <w:pPr>
        <w:pStyle w:val="Body"/>
        <w:numPr>
          <w:ilvl w:val="0"/>
          <w:numId w:val="4"/>
        </w:numPr>
        <w:bidi w:val="0"/>
      </w:pPr>
      <w:r>
        <w:rPr>
          <w:rStyle w:val="None"/>
          <w:rFonts w:ascii="Lexend Regular Medium" w:hAnsi="Lexend Regular Medium"/>
          <w:shd w:val="clear" w:color="auto" w:fill="ffffff"/>
          <w:rtl w:val="0"/>
          <w:lang w:val="en-US"/>
        </w:rPr>
        <w:t>Legal/Compliance Representative</w:t>
      </w:r>
      <w:r>
        <w:rPr>
          <w:rStyle w:val="None"/>
          <w:shd w:val="clear" w:color="auto" w:fill="ffffff"/>
          <w:rtl w:val="0"/>
          <w:lang w:val="en-US"/>
        </w:rPr>
        <w:t>: Evaluates regulatory obligations</w:t>
      </w:r>
    </w:p>
    <w:p>
      <w:pPr>
        <w:pStyle w:val="Body"/>
        <w:numPr>
          <w:ilvl w:val="0"/>
          <w:numId w:val="4"/>
        </w:numPr>
        <w:bidi w:val="0"/>
      </w:pPr>
      <w:r>
        <w:rPr>
          <w:rStyle w:val="None"/>
          <w:rFonts w:ascii="Lexend Regular Medium" w:hAnsi="Lexend Regular Medium"/>
          <w:shd w:val="clear" w:color="auto" w:fill="ffffff"/>
          <w:rtl w:val="0"/>
          <w:lang w:val="en-US"/>
        </w:rPr>
        <w:t>Business Unit Representative</w:t>
      </w:r>
      <w:r>
        <w:rPr>
          <w:rStyle w:val="None"/>
          <w:shd w:val="clear" w:color="auto" w:fill="ffffff"/>
          <w:rtl w:val="0"/>
          <w:lang w:val="en-US"/>
        </w:rPr>
        <w:t>: Provides context on business impact</w:t>
      </w:r>
    </w:p>
    <w:p>
      <w:pPr>
        <w:pStyle w:val="Body"/>
        <w:numPr>
          <w:ilvl w:val="0"/>
          <w:numId w:val="4"/>
        </w:numPr>
        <w:bidi w:val="0"/>
      </w:pPr>
      <w:r>
        <w:rPr>
          <w:rStyle w:val="None"/>
          <w:rFonts w:ascii="Lexend Regular Medium" w:hAnsi="Lexend Regular Medium"/>
          <w:shd w:val="clear" w:color="auto" w:fill="ffffff"/>
          <w:rtl w:val="0"/>
          <w:lang w:val="fr-FR"/>
        </w:rPr>
        <w:t>Communications Lead</w:t>
      </w:r>
      <w:r>
        <w:rPr>
          <w:rStyle w:val="None"/>
          <w:shd w:val="clear" w:color="auto" w:fill="ffffff"/>
          <w:rtl w:val="0"/>
          <w:lang w:val="en-US"/>
        </w:rPr>
        <w:t>: Manages internal/external communications if needed</w:t>
      </w:r>
    </w:p>
    <w:p>
      <w:pPr>
        <w:pStyle w:val="Heading 3"/>
        <w:bidi w:val="0"/>
        <w:rPr>
          <w:rStyle w:val="None"/>
          <w:shd w:val="clear" w:color="auto" w:fill="ffffff"/>
        </w:rPr>
      </w:pPr>
      <w:r>
        <w:rPr>
          <w:rStyle w:val="None"/>
          <w:shd w:val="clear" w:color="auto" w:fill="ffffff"/>
          <w:rtl w:val="0"/>
          <w:lang w:val="en-US"/>
        </w:rPr>
        <w:t>4. Incident Response Process</w:t>
      </w:r>
    </w:p>
    <w:p>
      <w:pPr>
        <w:pStyle w:val="Body Bold"/>
        <w:bidi w:val="0"/>
        <w:rPr>
          <w:rStyle w:val="None"/>
          <w:shd w:val="clear" w:color="auto" w:fill="ffffff"/>
        </w:rPr>
      </w:pPr>
      <w:r>
        <w:rPr>
          <w:rStyle w:val="None"/>
          <w:shd w:val="clear" w:color="auto" w:fill="ffffff"/>
          <w:rtl w:val="0"/>
          <w:lang w:val="en-US"/>
        </w:rPr>
        <w:t>4.1 Identification and Reporting</w:t>
      </w:r>
    </w:p>
    <w:p>
      <w:pPr>
        <w:pStyle w:val="Body"/>
        <w:numPr>
          <w:ilvl w:val="0"/>
          <w:numId w:val="4"/>
        </w:numPr>
        <w:bidi w:val="0"/>
      </w:pPr>
      <w:r>
        <w:rPr>
          <w:rStyle w:val="None"/>
          <w:shd w:val="clear" w:color="auto" w:fill="ffffff"/>
          <w:rtl w:val="0"/>
          <w:lang w:val="en-US"/>
        </w:rPr>
        <w:t>Any staff member identifying an AI-related incident must report it via:</w:t>
      </w:r>
    </w:p>
    <w:p>
      <w:pPr>
        <w:pStyle w:val="Body"/>
        <w:numPr>
          <w:ilvl w:val="3"/>
          <w:numId w:val="6"/>
        </w:numPr>
        <w:bidi w:val="0"/>
      </w:pPr>
      <w:r>
        <w:rPr>
          <w:rStyle w:val="None"/>
          <w:outline w:val="0"/>
          <w:color w:val="24282d"/>
          <w:shd w:val="clear" w:color="auto" w:fill="ffffff"/>
          <w:rtl w:val="0"/>
          <w14:textFill>
            <w14:solidFill>
              <w14:srgbClr w14:val="24292E"/>
            </w14:solidFill>
          </w14:textFill>
        </w:rPr>
        <w:t>Email: [</w:t>
      </w:r>
      <w:r>
        <w:rPr>
          <w:rStyle w:val="Hyperlink.1"/>
        </w:rPr>
        <w:fldChar w:fldCharType="begin" w:fldLock="0"/>
      </w:r>
      <w:r>
        <w:rPr>
          <w:rStyle w:val="Hyperlink.1"/>
        </w:rPr>
        <w:instrText xml:space="preserve"> HYPERLINK "mailto:AI-INCIDENT@ORGANISATION.COM"</w:instrText>
      </w:r>
      <w:r>
        <w:rPr>
          <w:rStyle w:val="Hyperlink.1"/>
        </w:rPr>
        <w:fldChar w:fldCharType="separate" w:fldLock="0"/>
      </w:r>
      <w:r>
        <w:rPr>
          <w:rStyle w:val="Hyperlink.1"/>
          <w:rtl w:val="0"/>
        </w:rPr>
        <w:t>AI-INCIDENT@ORGANISATION.COM</w:t>
      </w:r>
      <w:r>
        <w:rPr/>
        <w:fldChar w:fldCharType="end" w:fldLock="0"/>
      </w:r>
      <w:r>
        <w:rPr>
          <w:rStyle w:val="None"/>
          <w:outline w:val="0"/>
          <w:color w:val="24282d"/>
          <w:shd w:val="clear" w:color="auto" w:fill="ffffff"/>
          <w:rtl w:val="0"/>
          <w:lang w:val="pt-PT"/>
          <w14:textFill>
            <w14:solidFill>
              <w14:srgbClr w14:val="24292E"/>
            </w14:solidFill>
          </w14:textFill>
        </w:rPr>
        <w:t>]</w:t>
      </w:r>
    </w:p>
    <w:p>
      <w:pPr>
        <w:pStyle w:val="Body"/>
        <w:numPr>
          <w:ilvl w:val="3"/>
          <w:numId w:val="6"/>
        </w:numPr>
        <w:bidi w:val="0"/>
      </w:pPr>
      <w:r>
        <w:rPr>
          <w:rStyle w:val="Hyperlink.1"/>
          <w:rtl w:val="0"/>
        </w:rPr>
        <w:t>Phone: [EMERGENCY CONTACT NUMBER]</w:t>
      </w:r>
    </w:p>
    <w:p>
      <w:pPr>
        <w:pStyle w:val="Body"/>
        <w:numPr>
          <w:ilvl w:val="3"/>
          <w:numId w:val="6"/>
        </w:numPr>
        <w:bidi w:val="0"/>
      </w:pPr>
      <w:r>
        <w:rPr>
          <w:rStyle w:val="Hyperlink.1"/>
          <w:rtl w:val="0"/>
        </w:rPr>
        <w:t>Incident Reporting Form: [LINK TO FORM]</w:t>
      </w:r>
    </w:p>
    <w:p>
      <w:pPr>
        <w:pStyle w:val="Body"/>
        <w:numPr>
          <w:ilvl w:val="0"/>
          <w:numId w:val="4"/>
        </w:numPr>
        <w:bidi w:val="0"/>
      </w:pPr>
      <w:r>
        <w:rPr>
          <w:rStyle w:val="Hyperlink.1"/>
          <w:rtl w:val="0"/>
        </w:rPr>
        <w:t>The report should include:</w:t>
      </w:r>
    </w:p>
    <w:p>
      <w:pPr>
        <w:pStyle w:val="Body"/>
        <w:numPr>
          <w:ilvl w:val="3"/>
          <w:numId w:val="6"/>
        </w:numPr>
        <w:bidi w:val="0"/>
      </w:pPr>
      <w:r>
        <w:rPr>
          <w:rStyle w:val="Hyperlink.1"/>
          <w:rtl w:val="0"/>
        </w:rPr>
        <w:t>Description of the incident</w:t>
      </w:r>
    </w:p>
    <w:p>
      <w:pPr>
        <w:pStyle w:val="Body"/>
        <w:numPr>
          <w:ilvl w:val="3"/>
          <w:numId w:val="6"/>
        </w:numPr>
        <w:bidi w:val="0"/>
      </w:pPr>
      <w:r>
        <w:rPr>
          <w:rStyle w:val="Hyperlink.1"/>
          <w:rtl w:val="0"/>
        </w:rPr>
        <w:t>AI system involved</w:t>
      </w:r>
    </w:p>
    <w:p>
      <w:pPr>
        <w:pStyle w:val="Body"/>
        <w:numPr>
          <w:ilvl w:val="3"/>
          <w:numId w:val="6"/>
        </w:numPr>
        <w:bidi w:val="0"/>
      </w:pPr>
      <w:r>
        <w:rPr>
          <w:rStyle w:val="Hyperlink.1"/>
          <w:rtl w:val="0"/>
        </w:rPr>
        <w:t>Time and date observed</w:t>
      </w:r>
    </w:p>
    <w:p>
      <w:pPr>
        <w:pStyle w:val="Body"/>
        <w:numPr>
          <w:ilvl w:val="3"/>
          <w:numId w:val="6"/>
        </w:numPr>
        <w:bidi w:val="0"/>
      </w:pPr>
      <w:r>
        <w:rPr>
          <w:rStyle w:val="Hyperlink.1"/>
          <w:rtl w:val="0"/>
        </w:rPr>
        <w:t>Affected data or processes</w:t>
      </w:r>
    </w:p>
    <w:p>
      <w:pPr>
        <w:pStyle w:val="Body"/>
        <w:numPr>
          <w:ilvl w:val="3"/>
          <w:numId w:val="6"/>
        </w:numPr>
        <w:bidi w:val="0"/>
      </w:pPr>
      <w:r>
        <w:rPr>
          <w:rStyle w:val="Hyperlink.1"/>
          <w:rtl w:val="0"/>
        </w:rPr>
        <w:t>Initial assessment of impact</w:t>
      </w:r>
    </w:p>
    <w:p>
      <w:pPr>
        <w:pStyle w:val="Body"/>
        <w:numPr>
          <w:ilvl w:val="3"/>
          <w:numId w:val="6"/>
        </w:numPr>
        <w:bidi w:val="0"/>
      </w:pPr>
      <w:r>
        <w:rPr>
          <w:rStyle w:val="Hyperlink.1"/>
          <w:rtl w:val="0"/>
        </w:rPr>
        <w:t>Any immediate actions taken</w:t>
      </w:r>
    </w:p>
    <w:p>
      <w:pPr>
        <w:pStyle w:val="Body Bold"/>
        <w:bidi w:val="0"/>
        <w:rPr>
          <w:rStyle w:val="None"/>
          <w:shd w:val="clear" w:color="auto" w:fill="ffffff"/>
        </w:rPr>
      </w:pPr>
      <w:r>
        <w:rPr>
          <w:rStyle w:val="Hyperlink.1"/>
          <w:rtl w:val="0"/>
        </w:rPr>
        <w:t>4.2 Initial Assessment and Classification</w:t>
      </w:r>
    </w:p>
    <w:p>
      <w:pPr>
        <w:pStyle w:val="Body"/>
        <w:numPr>
          <w:ilvl w:val="0"/>
          <w:numId w:val="4"/>
        </w:numPr>
        <w:bidi w:val="0"/>
      </w:pPr>
      <w:r>
        <w:rPr>
          <w:rStyle w:val="Hyperlink.1"/>
          <w:rtl w:val="0"/>
        </w:rPr>
        <w:t>The AI Governance Committee representative evaluates the report</w:t>
      </w:r>
    </w:p>
    <w:p>
      <w:pPr>
        <w:pStyle w:val="Body"/>
        <w:numPr>
          <w:ilvl w:val="0"/>
          <w:numId w:val="4"/>
        </w:numPr>
        <w:bidi w:val="0"/>
      </w:pPr>
      <w:r>
        <w:rPr>
          <w:rStyle w:val="Hyperlink.1"/>
          <w:rtl w:val="0"/>
        </w:rPr>
        <w:t>Determines severity level and activates appropriate team members</w:t>
      </w:r>
    </w:p>
    <w:p>
      <w:pPr>
        <w:pStyle w:val="Body"/>
        <w:numPr>
          <w:ilvl w:val="0"/>
          <w:numId w:val="4"/>
        </w:numPr>
        <w:bidi w:val="0"/>
      </w:pPr>
      <w:r>
        <w:rPr>
          <w:rStyle w:val="Hyperlink.1"/>
          <w:rtl w:val="0"/>
        </w:rPr>
        <w:t>Creates an incident record with unique identifier</w:t>
      </w:r>
    </w:p>
    <w:p>
      <w:pPr>
        <w:pStyle w:val="Body"/>
        <w:numPr>
          <w:ilvl w:val="0"/>
          <w:numId w:val="4"/>
        </w:numPr>
        <w:bidi w:val="0"/>
      </w:pPr>
      <w:r>
        <w:rPr>
          <w:rStyle w:val="Hyperlink.1"/>
          <w:rtl w:val="0"/>
        </w:rPr>
        <w:t>Notifies relevant stakeholders based on severity</w:t>
      </w:r>
    </w:p>
    <w:p>
      <w:pPr>
        <w:pStyle w:val="Body Bold"/>
        <w:bidi w:val="0"/>
        <w:rPr>
          <w:rStyle w:val="None"/>
          <w:shd w:val="clear" w:color="auto" w:fill="ffffff"/>
        </w:rPr>
      </w:pPr>
      <w:r>
        <w:rPr>
          <w:rStyle w:val="Hyperlink.1"/>
          <w:rtl w:val="0"/>
        </w:rPr>
        <w:t>4.3 Containment and Mitigation</w:t>
      </w:r>
    </w:p>
    <w:p>
      <w:pPr>
        <w:pStyle w:val="Body"/>
        <w:numPr>
          <w:ilvl w:val="0"/>
          <w:numId w:val="4"/>
        </w:numPr>
        <w:bidi w:val="0"/>
      </w:pPr>
      <w:r>
        <w:rPr>
          <w:rStyle w:val="Hyperlink.1"/>
          <w:rtl w:val="0"/>
        </w:rPr>
        <w:t>Technical team implements immediate containment measures:</w:t>
      </w:r>
    </w:p>
    <w:p>
      <w:pPr>
        <w:pStyle w:val="Body"/>
        <w:numPr>
          <w:ilvl w:val="3"/>
          <w:numId w:val="6"/>
        </w:numPr>
        <w:bidi w:val="0"/>
      </w:pPr>
      <w:r>
        <w:rPr>
          <w:rStyle w:val="Hyperlink.1"/>
          <w:rtl w:val="0"/>
        </w:rPr>
        <w:t>Isolating the affected system if necessary</w:t>
      </w:r>
    </w:p>
    <w:p>
      <w:pPr>
        <w:pStyle w:val="Body"/>
        <w:numPr>
          <w:ilvl w:val="3"/>
          <w:numId w:val="6"/>
        </w:numPr>
        <w:bidi w:val="0"/>
      </w:pPr>
      <w:r>
        <w:rPr>
          <w:rStyle w:val="Hyperlink.1"/>
          <w:rtl w:val="0"/>
        </w:rPr>
        <w:t>Suspending problematic features</w:t>
      </w:r>
    </w:p>
    <w:p>
      <w:pPr>
        <w:pStyle w:val="Body"/>
        <w:numPr>
          <w:ilvl w:val="3"/>
          <w:numId w:val="6"/>
        </w:numPr>
        <w:bidi w:val="0"/>
      </w:pPr>
      <w:r>
        <w:rPr>
          <w:rStyle w:val="Hyperlink.1"/>
          <w:rtl w:val="0"/>
        </w:rPr>
        <w:t>Applying emergency controls</w:t>
      </w:r>
    </w:p>
    <w:p>
      <w:pPr>
        <w:pStyle w:val="Body"/>
        <w:numPr>
          <w:ilvl w:val="3"/>
          <w:numId w:val="6"/>
        </w:numPr>
        <w:bidi w:val="0"/>
      </w:pPr>
      <w:r>
        <w:rPr>
          <w:rStyle w:val="Hyperlink.1"/>
          <w:rtl w:val="0"/>
        </w:rPr>
        <w:t>Preserving evidence (system logs, outputs)</w:t>
      </w:r>
    </w:p>
    <w:p>
      <w:pPr>
        <w:pStyle w:val="Body"/>
        <w:numPr>
          <w:ilvl w:val="0"/>
          <w:numId w:val="4"/>
        </w:numPr>
        <w:bidi w:val="0"/>
      </w:pPr>
      <w:r>
        <w:rPr>
          <w:rStyle w:val="Hyperlink.1"/>
          <w:rtl w:val="0"/>
        </w:rPr>
        <w:t>Business continuity measures activated if needed</w:t>
      </w:r>
    </w:p>
    <w:p>
      <w:pPr>
        <w:pStyle w:val="Body Bold"/>
        <w:bidi w:val="0"/>
        <w:rPr>
          <w:rStyle w:val="None"/>
          <w:shd w:val="clear" w:color="auto" w:fill="ffffff"/>
        </w:rPr>
      </w:pPr>
      <w:r>
        <w:rPr>
          <w:rStyle w:val="Hyperlink.1"/>
          <w:rtl w:val="0"/>
        </w:rPr>
        <w:t>4.4 Investigation</w:t>
      </w:r>
    </w:p>
    <w:p>
      <w:pPr>
        <w:pStyle w:val="Body"/>
        <w:numPr>
          <w:ilvl w:val="0"/>
          <w:numId w:val="4"/>
        </w:numPr>
        <w:bidi w:val="0"/>
      </w:pPr>
      <w:r>
        <w:rPr>
          <w:rStyle w:val="Hyperlink.1"/>
          <w:rtl w:val="0"/>
        </w:rPr>
        <w:t>Technical analysis of:</w:t>
      </w:r>
    </w:p>
    <w:p>
      <w:pPr>
        <w:pStyle w:val="Body"/>
        <w:numPr>
          <w:ilvl w:val="3"/>
          <w:numId w:val="6"/>
        </w:numPr>
        <w:bidi w:val="0"/>
      </w:pPr>
      <w:r>
        <w:rPr>
          <w:rStyle w:val="Hyperlink.1"/>
          <w:rtl w:val="0"/>
        </w:rPr>
        <w:t>Root cause determination</w:t>
      </w:r>
    </w:p>
    <w:p>
      <w:pPr>
        <w:pStyle w:val="Body"/>
        <w:numPr>
          <w:ilvl w:val="3"/>
          <w:numId w:val="6"/>
        </w:numPr>
        <w:bidi w:val="0"/>
      </w:pPr>
      <w:r>
        <w:rPr>
          <w:rStyle w:val="Hyperlink.1"/>
          <w:rtl w:val="0"/>
        </w:rPr>
        <w:t>Extent of the incident</w:t>
      </w:r>
    </w:p>
    <w:p>
      <w:pPr>
        <w:pStyle w:val="Body"/>
        <w:numPr>
          <w:ilvl w:val="3"/>
          <w:numId w:val="6"/>
        </w:numPr>
        <w:bidi w:val="0"/>
      </w:pPr>
      <w:r>
        <w:rPr>
          <w:rStyle w:val="Hyperlink.1"/>
          <w:rtl w:val="0"/>
        </w:rPr>
        <w:t>Data affected</w:t>
      </w:r>
    </w:p>
    <w:p>
      <w:pPr>
        <w:pStyle w:val="Body"/>
        <w:numPr>
          <w:ilvl w:val="3"/>
          <w:numId w:val="6"/>
        </w:numPr>
        <w:bidi w:val="0"/>
      </w:pPr>
      <w:r>
        <w:rPr>
          <w:rStyle w:val="Hyperlink.1"/>
          <w:rtl w:val="0"/>
        </w:rPr>
        <w:t>System vulnerabilities</w:t>
      </w:r>
    </w:p>
    <w:p>
      <w:pPr>
        <w:pStyle w:val="Body"/>
        <w:numPr>
          <w:ilvl w:val="3"/>
          <w:numId w:val="6"/>
        </w:numPr>
        <w:bidi w:val="0"/>
      </w:pPr>
      <w:r>
        <w:rPr>
          <w:rStyle w:val="Hyperlink.1"/>
          <w:rtl w:val="0"/>
        </w:rPr>
        <w:t>Control failures</w:t>
      </w:r>
    </w:p>
    <w:p>
      <w:pPr>
        <w:pStyle w:val="Body"/>
        <w:numPr>
          <w:ilvl w:val="0"/>
          <w:numId w:val="4"/>
        </w:numPr>
        <w:bidi w:val="0"/>
      </w:pPr>
      <w:r>
        <w:rPr>
          <w:rStyle w:val="Hyperlink.1"/>
          <w:rtl w:val="0"/>
        </w:rPr>
        <w:t>Documentation of findings in incident record</w:t>
      </w:r>
    </w:p>
    <w:p>
      <w:pPr>
        <w:pStyle w:val="Body Bold"/>
        <w:bidi w:val="0"/>
        <w:rPr>
          <w:rStyle w:val="None"/>
          <w:shd w:val="clear" w:color="auto" w:fill="ffffff"/>
        </w:rPr>
      </w:pPr>
      <w:r>
        <w:rPr>
          <w:rStyle w:val="Hyperlink.1"/>
          <w:rtl w:val="0"/>
        </w:rPr>
        <w:t>4.5 Resolution and Recovery</w:t>
      </w:r>
    </w:p>
    <w:p>
      <w:pPr>
        <w:pStyle w:val="Body"/>
        <w:numPr>
          <w:ilvl w:val="0"/>
          <w:numId w:val="4"/>
        </w:numPr>
        <w:bidi w:val="0"/>
      </w:pPr>
      <w:r>
        <w:rPr>
          <w:rStyle w:val="Hyperlink.1"/>
          <w:rtl w:val="0"/>
        </w:rPr>
        <w:t>Develop and implement remediation plan</w:t>
      </w:r>
    </w:p>
    <w:p>
      <w:pPr>
        <w:pStyle w:val="Body"/>
        <w:numPr>
          <w:ilvl w:val="0"/>
          <w:numId w:val="4"/>
        </w:numPr>
        <w:bidi w:val="0"/>
      </w:pPr>
      <w:r>
        <w:rPr>
          <w:rStyle w:val="Hyperlink.1"/>
          <w:rtl w:val="0"/>
        </w:rPr>
        <w:t>Test fixes before full restoration</w:t>
      </w:r>
    </w:p>
    <w:p>
      <w:pPr>
        <w:pStyle w:val="Body"/>
        <w:numPr>
          <w:ilvl w:val="0"/>
          <w:numId w:val="4"/>
        </w:numPr>
        <w:bidi w:val="0"/>
      </w:pPr>
      <w:r>
        <w:rPr>
          <w:rStyle w:val="Hyperlink.1"/>
          <w:rtl w:val="0"/>
        </w:rPr>
        <w:t>Update AI system inventory with incident details</w:t>
      </w:r>
    </w:p>
    <w:p>
      <w:pPr>
        <w:pStyle w:val="Body"/>
        <w:numPr>
          <w:ilvl w:val="0"/>
          <w:numId w:val="4"/>
        </w:numPr>
        <w:bidi w:val="0"/>
      </w:pPr>
      <w:r>
        <w:rPr>
          <w:rStyle w:val="Hyperlink.1"/>
          <w:rtl w:val="0"/>
        </w:rPr>
        <w:t>Restore normal operations with enhanced monitoring</w:t>
      </w:r>
    </w:p>
    <w:p>
      <w:pPr>
        <w:pStyle w:val="Body Bold"/>
        <w:bidi w:val="0"/>
        <w:rPr>
          <w:rStyle w:val="None"/>
          <w:shd w:val="clear" w:color="auto" w:fill="ffffff"/>
        </w:rPr>
      </w:pPr>
      <w:r>
        <w:rPr>
          <w:rStyle w:val="Hyperlink.1"/>
          <w:rtl w:val="0"/>
        </w:rPr>
        <w:t>4.6 Notification and Reporting</w:t>
      </w:r>
    </w:p>
    <w:p>
      <w:pPr>
        <w:pStyle w:val="Body"/>
        <w:numPr>
          <w:ilvl w:val="0"/>
          <w:numId w:val="4"/>
        </w:numPr>
        <w:bidi w:val="0"/>
      </w:pPr>
      <w:r>
        <w:rPr>
          <w:rStyle w:val="Hyperlink.1"/>
          <w:rtl w:val="0"/>
        </w:rPr>
        <w:t>Determine notification requirements:</w:t>
      </w:r>
    </w:p>
    <w:p>
      <w:pPr>
        <w:pStyle w:val="Body"/>
        <w:numPr>
          <w:ilvl w:val="3"/>
          <w:numId w:val="6"/>
        </w:numPr>
        <w:bidi w:val="0"/>
      </w:pPr>
      <w:r>
        <w:rPr>
          <w:rStyle w:val="Hyperlink.1"/>
          <w:rtl w:val="0"/>
        </w:rPr>
        <w:t>Internal stakeholders</w:t>
      </w:r>
    </w:p>
    <w:p>
      <w:pPr>
        <w:pStyle w:val="Body"/>
        <w:numPr>
          <w:ilvl w:val="3"/>
          <w:numId w:val="6"/>
        </w:numPr>
        <w:bidi w:val="0"/>
      </w:pPr>
      <w:r>
        <w:rPr>
          <w:rStyle w:val="Hyperlink.1"/>
          <w:rtl w:val="0"/>
        </w:rPr>
        <w:t>Affected individuals</w:t>
      </w:r>
    </w:p>
    <w:p>
      <w:pPr>
        <w:pStyle w:val="Body"/>
        <w:numPr>
          <w:ilvl w:val="3"/>
          <w:numId w:val="6"/>
        </w:numPr>
        <w:bidi w:val="0"/>
      </w:pPr>
      <w:r>
        <w:rPr>
          <w:rStyle w:val="Hyperlink.1"/>
          <w:rtl w:val="0"/>
        </w:rPr>
        <w:t>Regulatory authorities (if applicable)</w:t>
      </w:r>
    </w:p>
    <w:p>
      <w:pPr>
        <w:pStyle w:val="Body"/>
        <w:numPr>
          <w:ilvl w:val="3"/>
          <w:numId w:val="6"/>
        </w:numPr>
        <w:bidi w:val="0"/>
      </w:pPr>
      <w:r>
        <w:rPr>
          <w:rStyle w:val="Hyperlink.1"/>
          <w:rtl w:val="0"/>
        </w:rPr>
        <w:t>Third parties (vendors, partners)</w:t>
      </w:r>
    </w:p>
    <w:p>
      <w:pPr>
        <w:pStyle w:val="Body"/>
        <w:numPr>
          <w:ilvl w:val="0"/>
          <w:numId w:val="4"/>
        </w:numPr>
        <w:bidi w:val="0"/>
      </w:pPr>
      <w:r>
        <w:rPr>
          <w:rStyle w:val="Hyperlink.1"/>
          <w:rtl w:val="0"/>
        </w:rPr>
        <w:t>Prepare appropriate communications</w:t>
      </w:r>
    </w:p>
    <w:p>
      <w:pPr>
        <w:pStyle w:val="Body Bold"/>
        <w:bidi w:val="0"/>
        <w:rPr>
          <w:rStyle w:val="None"/>
          <w:shd w:val="clear" w:color="auto" w:fill="ffffff"/>
        </w:rPr>
      </w:pPr>
      <w:r>
        <w:rPr>
          <w:rStyle w:val="Hyperlink.1"/>
          <w:rtl w:val="0"/>
        </w:rPr>
        <w:t>4.7 Post-Incident Review</w:t>
      </w:r>
    </w:p>
    <w:p>
      <w:pPr>
        <w:pStyle w:val="Body"/>
        <w:numPr>
          <w:ilvl w:val="0"/>
          <w:numId w:val="4"/>
        </w:numPr>
        <w:bidi w:val="0"/>
      </w:pPr>
      <w:r>
        <w:rPr>
          <w:rStyle w:val="Hyperlink.1"/>
          <w:rtl w:val="0"/>
        </w:rPr>
        <w:t>Conduct lessons learned session</w:t>
      </w:r>
    </w:p>
    <w:p>
      <w:pPr>
        <w:pStyle w:val="Body"/>
        <w:numPr>
          <w:ilvl w:val="0"/>
          <w:numId w:val="4"/>
        </w:numPr>
        <w:bidi w:val="0"/>
      </w:pPr>
      <w:r>
        <w:rPr>
          <w:rStyle w:val="Hyperlink.1"/>
          <w:rtl w:val="0"/>
        </w:rPr>
        <w:t>Document:</w:t>
      </w:r>
    </w:p>
    <w:p>
      <w:pPr>
        <w:pStyle w:val="Body"/>
        <w:numPr>
          <w:ilvl w:val="3"/>
          <w:numId w:val="6"/>
        </w:numPr>
        <w:bidi w:val="0"/>
      </w:pPr>
      <w:r>
        <w:rPr>
          <w:rStyle w:val="Hyperlink.1"/>
          <w:rtl w:val="0"/>
        </w:rPr>
        <w:t>Incident timeline</w:t>
      </w:r>
    </w:p>
    <w:p>
      <w:pPr>
        <w:pStyle w:val="Body"/>
        <w:numPr>
          <w:ilvl w:val="3"/>
          <w:numId w:val="6"/>
        </w:numPr>
        <w:bidi w:val="0"/>
      </w:pPr>
      <w:r>
        <w:rPr>
          <w:rStyle w:val="Hyperlink.1"/>
          <w:rtl w:val="0"/>
        </w:rPr>
        <w:t>Root causes</w:t>
      </w:r>
    </w:p>
    <w:p>
      <w:pPr>
        <w:pStyle w:val="Body"/>
        <w:numPr>
          <w:ilvl w:val="3"/>
          <w:numId w:val="6"/>
        </w:numPr>
        <w:bidi w:val="0"/>
      </w:pPr>
      <w:r>
        <w:rPr>
          <w:rStyle w:val="Hyperlink.1"/>
          <w:rtl w:val="0"/>
        </w:rPr>
        <w:t>Effectiveness of response</w:t>
      </w:r>
    </w:p>
    <w:p>
      <w:pPr>
        <w:pStyle w:val="Body"/>
        <w:numPr>
          <w:ilvl w:val="3"/>
          <w:numId w:val="6"/>
        </w:numPr>
        <w:bidi w:val="0"/>
      </w:pPr>
      <w:r>
        <w:rPr>
          <w:rStyle w:val="Hyperlink.1"/>
          <w:rtl w:val="0"/>
        </w:rPr>
        <w:t>Gaps in controls</w:t>
      </w:r>
    </w:p>
    <w:p>
      <w:pPr>
        <w:pStyle w:val="Body"/>
        <w:numPr>
          <w:ilvl w:val="3"/>
          <w:numId w:val="6"/>
        </w:numPr>
        <w:bidi w:val="0"/>
      </w:pPr>
      <w:r>
        <w:rPr>
          <w:rStyle w:val="Hyperlink.1"/>
          <w:rtl w:val="0"/>
        </w:rPr>
        <w:t>Recommendations for improvement</w:t>
      </w:r>
    </w:p>
    <w:p>
      <w:pPr>
        <w:pStyle w:val="Body"/>
        <w:numPr>
          <w:ilvl w:val="0"/>
          <w:numId w:val="4"/>
        </w:numPr>
        <w:bidi w:val="0"/>
      </w:pPr>
      <w:r>
        <w:rPr>
          <w:rStyle w:val="Hyperlink.1"/>
          <w:rtl w:val="0"/>
        </w:rPr>
        <w:t>Update risk register and controls</w:t>
      </w:r>
    </w:p>
    <w:p>
      <w:pPr>
        <w:pStyle w:val="Heading 3"/>
        <w:bidi w:val="0"/>
        <w:rPr>
          <w:rStyle w:val="None"/>
          <w:shd w:val="clear" w:color="auto" w:fill="ffffff"/>
        </w:rPr>
      </w:pPr>
      <w:r>
        <w:rPr>
          <w:rStyle w:val="Hyperlink.1"/>
          <w:rtl w:val="0"/>
          <w:lang w:val="en-US"/>
        </w:rPr>
        <w:t>5. Documentation Requirements</w:t>
      </w:r>
    </w:p>
    <w:p>
      <w:pPr>
        <w:pStyle w:val="Body"/>
        <w:bidi w:val="0"/>
        <w:rPr>
          <w:rStyle w:val="Hyperlink.1"/>
        </w:rPr>
      </w:pPr>
      <w:r>
        <w:rPr>
          <w:rStyle w:val="Hyperlink.1"/>
          <w:rtl w:val="0"/>
        </w:rPr>
        <w:t>All incidents must be documented using the AI Incident Record template, including:</w:t>
      </w:r>
    </w:p>
    <w:p>
      <w:pPr>
        <w:pStyle w:val="Body"/>
        <w:numPr>
          <w:ilvl w:val="0"/>
          <w:numId w:val="4"/>
        </w:numPr>
        <w:bidi w:val="0"/>
      </w:pPr>
      <w:r>
        <w:rPr>
          <w:rStyle w:val="Hyperlink.1"/>
          <w:rtl w:val="0"/>
        </w:rPr>
        <w:t>Incident details and classification</w:t>
      </w:r>
    </w:p>
    <w:p>
      <w:pPr>
        <w:pStyle w:val="Body"/>
        <w:numPr>
          <w:ilvl w:val="0"/>
          <w:numId w:val="4"/>
        </w:numPr>
        <w:bidi w:val="0"/>
      </w:pPr>
      <w:r>
        <w:rPr>
          <w:rStyle w:val="Hyperlink.1"/>
          <w:rtl w:val="0"/>
        </w:rPr>
        <w:t>Response actions and timeline</w:t>
      </w:r>
    </w:p>
    <w:p>
      <w:pPr>
        <w:pStyle w:val="Body"/>
        <w:numPr>
          <w:ilvl w:val="0"/>
          <w:numId w:val="4"/>
        </w:numPr>
        <w:bidi w:val="0"/>
      </w:pPr>
      <w:r>
        <w:rPr>
          <w:rStyle w:val="Hyperlink.1"/>
          <w:rtl w:val="0"/>
        </w:rPr>
        <w:t>Root cause analysis</w:t>
      </w:r>
    </w:p>
    <w:p>
      <w:pPr>
        <w:pStyle w:val="Body"/>
        <w:numPr>
          <w:ilvl w:val="0"/>
          <w:numId w:val="4"/>
        </w:numPr>
        <w:bidi w:val="0"/>
      </w:pPr>
      <w:r>
        <w:rPr>
          <w:rStyle w:val="Hyperlink.1"/>
          <w:rtl w:val="0"/>
        </w:rPr>
        <w:t>Affected data/systems</w:t>
      </w:r>
    </w:p>
    <w:p>
      <w:pPr>
        <w:pStyle w:val="Body"/>
        <w:numPr>
          <w:ilvl w:val="0"/>
          <w:numId w:val="4"/>
        </w:numPr>
        <w:bidi w:val="0"/>
      </w:pPr>
      <w:r>
        <w:rPr>
          <w:rStyle w:val="Hyperlink.1"/>
          <w:rtl w:val="0"/>
        </w:rPr>
        <w:t>Business impact assessment</w:t>
      </w:r>
    </w:p>
    <w:p>
      <w:pPr>
        <w:pStyle w:val="Body"/>
        <w:numPr>
          <w:ilvl w:val="0"/>
          <w:numId w:val="4"/>
        </w:numPr>
        <w:bidi w:val="0"/>
      </w:pPr>
      <w:r>
        <w:rPr>
          <w:rStyle w:val="Hyperlink.1"/>
          <w:rtl w:val="0"/>
        </w:rPr>
        <w:t>Remediation measures</w:t>
      </w:r>
    </w:p>
    <w:p>
      <w:pPr>
        <w:pStyle w:val="Body"/>
        <w:numPr>
          <w:ilvl w:val="0"/>
          <w:numId w:val="4"/>
        </w:numPr>
        <w:bidi w:val="0"/>
      </w:pPr>
      <w:r>
        <w:rPr>
          <w:rStyle w:val="Hyperlink.1"/>
          <w:rtl w:val="0"/>
        </w:rPr>
        <w:t>Regulatory notifications (if applicable)</w:t>
      </w:r>
    </w:p>
    <w:p>
      <w:pPr>
        <w:pStyle w:val="Body"/>
        <w:numPr>
          <w:ilvl w:val="0"/>
          <w:numId w:val="4"/>
        </w:numPr>
        <w:bidi w:val="0"/>
      </w:pPr>
      <w:r>
        <w:rPr>
          <w:rStyle w:val="Hyperlink.1"/>
          <w:rtl w:val="0"/>
        </w:rPr>
        <w:t>Preventative recommendations</w:t>
      </w:r>
    </w:p>
    <w:p>
      <w:pPr>
        <w:pStyle w:val="Body Bold"/>
        <w:bidi w:val="0"/>
        <w:rPr>
          <w:rStyle w:val="None"/>
          <w:shd w:val="clear" w:color="auto" w:fill="ffffff"/>
        </w:rPr>
      </w:pPr>
      <w:r>
        <w:rPr>
          <w:rStyle w:val="Hyperlink.1"/>
          <w:rtl w:val="0"/>
        </w:rPr>
        <w:t>6. Continuous Improvement</w:t>
      </w:r>
    </w:p>
    <w:p>
      <w:pPr>
        <w:pStyle w:val="Body"/>
        <w:bidi w:val="0"/>
        <w:rPr>
          <w:rStyle w:val="Hyperlink.1"/>
        </w:rPr>
      </w:pPr>
      <w:r>
        <w:rPr>
          <w:rStyle w:val="Hyperlink.1"/>
          <w:rtl w:val="0"/>
        </w:rPr>
        <w:t>The AI Governance Committee will:</w:t>
      </w:r>
    </w:p>
    <w:p>
      <w:pPr>
        <w:pStyle w:val="Body"/>
        <w:numPr>
          <w:ilvl w:val="0"/>
          <w:numId w:val="4"/>
        </w:numPr>
        <w:bidi w:val="0"/>
      </w:pPr>
      <w:r>
        <w:rPr>
          <w:rStyle w:val="Hyperlink.1"/>
          <w:rtl w:val="0"/>
        </w:rPr>
        <w:t>Review all incidents quarterly</w:t>
      </w:r>
    </w:p>
    <w:p>
      <w:pPr>
        <w:pStyle w:val="Body"/>
        <w:numPr>
          <w:ilvl w:val="0"/>
          <w:numId w:val="4"/>
        </w:numPr>
        <w:bidi w:val="0"/>
      </w:pPr>
      <w:r>
        <w:rPr>
          <w:rStyle w:val="Hyperlink.1"/>
          <w:rtl w:val="0"/>
        </w:rPr>
        <w:t>Update the incident response procedure annually</w:t>
      </w:r>
    </w:p>
    <w:p>
      <w:pPr>
        <w:pStyle w:val="Body"/>
        <w:numPr>
          <w:ilvl w:val="0"/>
          <w:numId w:val="4"/>
        </w:numPr>
        <w:bidi w:val="0"/>
      </w:pPr>
      <w:r>
        <w:rPr>
          <w:rStyle w:val="Hyperlink.1"/>
          <w:rtl w:val="0"/>
        </w:rPr>
        <w:t>Incorporate lessons learned into AI training</w:t>
      </w:r>
    </w:p>
    <w:p>
      <w:pPr>
        <w:pStyle w:val="Body"/>
        <w:numPr>
          <w:ilvl w:val="0"/>
          <w:numId w:val="4"/>
        </w:numPr>
        <w:bidi w:val="0"/>
      </w:pPr>
      <w:r>
        <w:rPr>
          <w:rStyle w:val="Hyperlink.1"/>
          <w:rtl w:val="0"/>
        </w:rPr>
        <w:t>Enhance monitoring based on incident patterns</w:t>
      </w:r>
    </w:p>
    <w:p>
      <w:pPr>
        <w:pStyle w:val="Body"/>
        <w:numPr>
          <w:ilvl w:val="0"/>
          <w:numId w:val="4"/>
        </w:numPr>
        <w:bidi w:val="0"/>
      </w:pPr>
      <w:r>
        <w:rPr>
          <w:rStyle w:val="Hyperlink.1"/>
          <w:rtl w:val="0"/>
        </w:rPr>
        <w:t>Adjust risk assessments for similar systems</w:t>
      </w:r>
    </w:p>
    <w:p>
      <w:pPr>
        <w:pStyle w:val="Default"/>
        <w:suppressAutoHyphens w:val="1"/>
        <w:spacing w:before="0" w:line="240" w:lineRule="auto"/>
        <w:jc w:val="left"/>
        <w:rPr>
          <w:outline w:val="0"/>
          <w:color w:val="7f7f7f"/>
          <w:sz w:val="32"/>
          <w:szCs w:val="32"/>
          <w:shd w:val="clear" w:color="auto" w:fill="e3e4e7"/>
          <w14:textFill>
            <w14:solidFill>
              <w14:srgbClr w14:val="808080"/>
            </w14:solidFill>
          </w14:textFill>
        </w:rPr>
      </w:pPr>
    </w:p>
    <w:p>
      <w:pPr>
        <w:pStyle w:val="Heading"/>
        <w:bidi w:val="0"/>
        <w:rPr>
          <w:rStyle w:val="Hyperlink.1"/>
        </w:rPr>
      </w:pPr>
      <w:r>
        <w:rPr>
          <w:rStyle w:val="Hyperlink.1"/>
          <w:rtl w:val="0"/>
          <w:lang w:val="en-US"/>
        </w:rPr>
        <w:t>Appendix E: Glossary of AI Terms</w:t>
      </w:r>
    </w:p>
    <w:p>
      <w:pPr>
        <w:pStyle w:val="Heading 2"/>
        <w:bidi w:val="0"/>
        <w:rPr>
          <w:rStyle w:val="Hyperlink.1"/>
        </w:rPr>
      </w:pPr>
      <w:r>
        <w:rPr>
          <w:rStyle w:val="Hyperlink.1"/>
          <w:rtl w:val="0"/>
        </w:rPr>
        <w:t>AI Terminology Guide</w:t>
      </w:r>
    </w:p>
    <w:p>
      <w:pPr>
        <w:pStyle w:val="Body"/>
        <w:bidi w:val="0"/>
        <w:rPr>
          <w:rStyle w:val="Hyperlink.1"/>
        </w:rPr>
      </w:pPr>
      <w:r>
        <w:rPr>
          <w:rStyle w:val="Hyperlink.1"/>
          <w:rtl w:val="0"/>
        </w:rPr>
        <w:t>This glossary provides definitions of common AI terms used throughout the policy and implementation documents. It serves as a reference to ensure consistent understanding across the organisation.</w:t>
      </w:r>
    </w:p>
    <w:p>
      <w:pPr>
        <w:pStyle w:val="Body"/>
        <w:bidi w:val="0"/>
        <w:rPr>
          <w:rStyle w:val="Hyperlink.1"/>
        </w:rPr>
      </w:pPr>
      <w:r>
        <w:rPr>
          <w:rStyle w:val="None"/>
          <w:rFonts w:ascii="Lexend Regular Medium" w:hAnsi="Lexend Regular Medium"/>
          <w:shd w:val="clear" w:color="auto" w:fill="ffffff"/>
          <w:rtl w:val="0"/>
          <w:lang w:val="fr-FR"/>
        </w:rPr>
        <w:t>Artificial Intelligence (AI)</w:t>
      </w:r>
      <w:r>
        <w:rPr>
          <w:rStyle w:val="Hyperlink.1"/>
          <w:rtl w:val="0"/>
        </w:rPr>
        <w:t>: Computer systems that can perform tasks that typically require human intelligence, such as visual perception, speech recognition, decision-making and language translation. In practical business terms, AI refers to software that can analyse data, learn patterns and make predictions or recommendations.</w:t>
      </w:r>
    </w:p>
    <w:p>
      <w:pPr>
        <w:pStyle w:val="Body"/>
        <w:bidi w:val="0"/>
        <w:rPr>
          <w:rStyle w:val="Hyperlink.1"/>
        </w:rPr>
      </w:pPr>
      <w:r>
        <w:rPr>
          <w:rStyle w:val="None"/>
          <w:rFonts w:ascii="Lexend Regular Medium" w:hAnsi="Lexend Regular Medium"/>
          <w:shd w:val="clear" w:color="auto" w:fill="ffffff"/>
          <w:rtl w:val="0"/>
          <w:lang w:val="en-US"/>
        </w:rPr>
        <w:t>Algorithm</w:t>
      </w:r>
      <w:r>
        <w:rPr>
          <w:rStyle w:val="Hyperlink.1"/>
          <w:rtl w:val="0"/>
        </w:rPr>
        <w:t>: A set of rules or instructions followed by a computer program to solve problems or perform tasks. Algorithms are the foundation of AI systems, determining how they process data and generate outputs.</w:t>
      </w:r>
    </w:p>
    <w:p>
      <w:pPr>
        <w:pStyle w:val="Body"/>
        <w:bidi w:val="0"/>
        <w:rPr>
          <w:rStyle w:val="Hyperlink.1"/>
        </w:rPr>
      </w:pPr>
      <w:r>
        <w:rPr>
          <w:rStyle w:val="None"/>
          <w:rFonts w:ascii="Lexend Regular Medium" w:hAnsi="Lexend Regular Medium"/>
          <w:shd w:val="clear" w:color="auto" w:fill="ffffff"/>
          <w:rtl w:val="0"/>
        </w:rPr>
        <w:t>Bias</w:t>
      </w:r>
      <w:r>
        <w:rPr>
          <w:rStyle w:val="Hyperlink.1"/>
          <w:rtl w:val="0"/>
        </w:rPr>
        <w:t>: Systematic errors in AI outputs that can result in unfair treatment of certain groups or individuals. Bias can be introduced through training data, algorithm design or implementation practices.</w:t>
      </w:r>
    </w:p>
    <w:p>
      <w:pPr>
        <w:pStyle w:val="Body"/>
        <w:bidi w:val="0"/>
        <w:rPr>
          <w:rStyle w:val="Hyperlink.1"/>
        </w:rPr>
      </w:pPr>
      <w:r>
        <w:rPr>
          <w:rStyle w:val="None"/>
          <w:rFonts w:ascii="Lexend Regular Medium" w:hAnsi="Lexend Regular Medium"/>
          <w:shd w:val="clear" w:color="auto" w:fill="ffffff"/>
          <w:rtl w:val="0"/>
          <w:lang w:val="en-US"/>
        </w:rPr>
        <w:t>Deep Learning</w:t>
      </w:r>
      <w:r>
        <w:rPr>
          <w:rStyle w:val="Hyperlink.1"/>
          <w:rtl w:val="0"/>
        </w:rPr>
        <w:t>: A subset of machine learning that uses neural networks with multiple layers to analyse various factors of data. Deep learning excels at processing unstructured data like images, text and audio.</w:t>
      </w:r>
    </w:p>
    <w:p>
      <w:pPr>
        <w:pStyle w:val="Body"/>
        <w:bidi w:val="0"/>
        <w:rPr>
          <w:rStyle w:val="Hyperlink.1"/>
        </w:rPr>
      </w:pPr>
      <w:r>
        <w:rPr>
          <w:rStyle w:val="None"/>
          <w:rFonts w:ascii="Lexend Regular Medium" w:hAnsi="Lexend Regular Medium"/>
          <w:shd w:val="clear" w:color="auto" w:fill="ffffff"/>
          <w:rtl w:val="0"/>
        </w:rPr>
        <w:t>EU AI Act</w:t>
      </w:r>
      <w:r>
        <w:rPr>
          <w:rStyle w:val="Hyperlink.1"/>
          <w:rtl w:val="0"/>
        </w:rPr>
        <w:t>: European Union regulation establishing legal framework for development, deployment and use of AI systems within the EU. It categorises AI systems by risk level and imposes graduated requirements, with mandatory compliance by August 2026.</w:t>
      </w:r>
    </w:p>
    <w:p>
      <w:pPr>
        <w:pStyle w:val="Body"/>
        <w:bidi w:val="0"/>
        <w:rPr>
          <w:rStyle w:val="Hyperlink.1"/>
        </w:rPr>
      </w:pPr>
      <w:r>
        <w:rPr>
          <w:rStyle w:val="None"/>
          <w:rFonts w:ascii="Lexend Regular Medium" w:hAnsi="Lexend Regular Medium"/>
          <w:shd w:val="clear" w:color="auto" w:fill="ffffff"/>
          <w:rtl w:val="0"/>
          <w:lang w:val="en-US"/>
        </w:rPr>
        <w:t>Fine-tuning</w:t>
      </w:r>
      <w:r>
        <w:rPr>
          <w:rStyle w:val="Hyperlink.1"/>
          <w:rtl w:val="0"/>
        </w:rPr>
        <w:t>: The process of taking a pre-trained AI model and further training it on a smaller, specific dataset to adapt it for particular tasks or domains. Fine-tuning helps customise models for organisation-specific terminology and workflows.</w:t>
      </w:r>
    </w:p>
    <w:p>
      <w:pPr>
        <w:pStyle w:val="Body"/>
        <w:bidi w:val="0"/>
        <w:rPr>
          <w:rStyle w:val="Hyperlink.1"/>
        </w:rPr>
      </w:pPr>
      <w:r>
        <w:rPr>
          <w:rStyle w:val="None"/>
          <w:rFonts w:ascii="Lexend Regular Medium" w:hAnsi="Lexend Regular Medium"/>
          <w:shd w:val="clear" w:color="auto" w:fill="ffffff"/>
          <w:rtl w:val="0"/>
          <w:lang w:val="en-US"/>
        </w:rPr>
        <w:t>Foundation Model</w:t>
      </w:r>
      <w:r>
        <w:rPr>
          <w:rStyle w:val="Hyperlink.1"/>
          <w:rtl w:val="0"/>
        </w:rPr>
        <w:t>: Large AI models trained on vast datasets that serve as a base for multiple applications. These models require adaptation (through fine-tuning or RAG) for specific organisational use cases.</w:t>
      </w:r>
    </w:p>
    <w:p>
      <w:pPr>
        <w:pStyle w:val="Body"/>
        <w:bidi w:val="0"/>
        <w:rPr>
          <w:rStyle w:val="Hyperlink.1"/>
        </w:rPr>
      </w:pPr>
      <w:r>
        <w:rPr>
          <w:rStyle w:val="None"/>
          <w:rFonts w:ascii="Lexend Regular Medium" w:hAnsi="Lexend Regular Medium"/>
          <w:shd w:val="clear" w:color="auto" w:fill="ffffff"/>
          <w:rtl w:val="0"/>
          <w:lang w:val="en-US"/>
        </w:rPr>
        <w:t>Generative AI</w:t>
      </w:r>
      <w:r>
        <w:rPr>
          <w:rStyle w:val="Hyperlink.1"/>
          <w:rtl w:val="0"/>
        </w:rPr>
        <w:t>: AI systems that can create new content such as text, images, audio or video based on patterns learned from training data. Examples include large language models like GPT-4 and Claude.</w:t>
      </w:r>
    </w:p>
    <w:p>
      <w:pPr>
        <w:pStyle w:val="Body"/>
        <w:bidi w:val="0"/>
        <w:rPr>
          <w:rStyle w:val="Hyperlink.1"/>
        </w:rPr>
      </w:pPr>
      <w:r>
        <w:rPr>
          <w:rStyle w:val="None"/>
          <w:rFonts w:ascii="Lexend Regular Medium" w:hAnsi="Lexend Regular Medium"/>
          <w:shd w:val="clear" w:color="auto" w:fill="ffffff"/>
          <w:rtl w:val="0"/>
          <w:lang w:val="en-US"/>
        </w:rPr>
        <w:t>Human-in-the-Loop (HITL)</w:t>
      </w:r>
      <w:r>
        <w:rPr>
          <w:rStyle w:val="Hyperlink.1"/>
          <w:rtl w:val="0"/>
        </w:rPr>
        <w:t>: An approach that combines AI automation with human oversight and intervention. HITL ensures appropriate human review of AI outputs, particularly for high-stakes decisions.</w:t>
      </w:r>
    </w:p>
    <w:p>
      <w:pPr>
        <w:pStyle w:val="Body"/>
        <w:bidi w:val="0"/>
        <w:rPr>
          <w:rStyle w:val="Hyperlink.1"/>
        </w:rPr>
      </w:pPr>
      <w:r>
        <w:rPr>
          <w:rStyle w:val="None"/>
          <w:rFonts w:ascii="Lexend Regular Medium" w:hAnsi="Lexend Regular Medium"/>
          <w:shd w:val="clear" w:color="auto" w:fill="ffffff"/>
          <w:rtl w:val="0"/>
          <w:lang w:val="en-US"/>
        </w:rPr>
        <w:t>Large Language Model (LLM)</w:t>
      </w:r>
      <w:r>
        <w:rPr>
          <w:rStyle w:val="Hyperlink.1"/>
          <w:rtl w:val="0"/>
        </w:rPr>
        <w:t>: AI models trained on vast amounts of text data that can understand and generate human-like text. These models power many generative AI applications and can be used through public platforms or private implementations.</w:t>
      </w:r>
    </w:p>
    <w:p>
      <w:pPr>
        <w:pStyle w:val="Body"/>
        <w:bidi w:val="0"/>
        <w:rPr>
          <w:rStyle w:val="Hyperlink.1"/>
        </w:rPr>
      </w:pPr>
      <w:r>
        <w:rPr>
          <w:rStyle w:val="None"/>
          <w:rFonts w:ascii="Lexend Regular Medium" w:hAnsi="Lexend Regular Medium"/>
          <w:shd w:val="clear" w:color="auto" w:fill="ffffff"/>
          <w:rtl w:val="0"/>
          <w:lang w:val="en-US"/>
        </w:rPr>
        <w:t>Machine Learning</w:t>
      </w:r>
      <w:r>
        <w:rPr>
          <w:rStyle w:val="Hyperlink.1"/>
          <w:rtl w:val="0"/>
        </w:rPr>
        <w:t>: A subset of AI where systems learn patterns from data without being explicitly programmed. Machine learning models improve through exposure to more data and feedback.</w:t>
      </w:r>
    </w:p>
    <w:p>
      <w:pPr>
        <w:pStyle w:val="Body"/>
        <w:bidi w:val="0"/>
        <w:rPr>
          <w:rStyle w:val="Hyperlink.1"/>
        </w:rPr>
      </w:pPr>
      <w:r>
        <w:rPr>
          <w:rStyle w:val="None"/>
          <w:rFonts w:ascii="Lexend Regular Medium" w:hAnsi="Lexend Regular Medium"/>
          <w:shd w:val="clear" w:color="auto" w:fill="ffffff"/>
          <w:rtl w:val="0"/>
          <w:lang w:val="en-US"/>
        </w:rPr>
        <w:t>Natural Language Processing (NLP)</w:t>
      </w:r>
      <w:r>
        <w:rPr>
          <w:rStyle w:val="Hyperlink.1"/>
          <w:rtl w:val="0"/>
        </w:rPr>
        <w:t>: AI technology that enables computers to understand, interpret and generate human language. NLP powers applications like chatbots, text summarisation and sentiment analysis.</w:t>
      </w:r>
    </w:p>
    <w:p>
      <w:pPr>
        <w:pStyle w:val="Body"/>
        <w:bidi w:val="0"/>
        <w:rPr>
          <w:rStyle w:val="Hyperlink.1"/>
        </w:rPr>
      </w:pPr>
      <w:r>
        <w:rPr>
          <w:rStyle w:val="None"/>
          <w:rFonts w:ascii="Lexend Regular Medium" w:hAnsi="Lexend Regular Medium"/>
          <w:shd w:val="clear" w:color="auto" w:fill="ffffff"/>
          <w:rtl w:val="0"/>
          <w:lang w:val="en-US"/>
        </w:rPr>
        <w:t>Private AI</w:t>
      </w:r>
      <w:r>
        <w:rPr>
          <w:rStyle w:val="Hyperlink.1"/>
          <w:rtl w:val="0"/>
        </w:rPr>
        <w:t>: AI models deployed within an organisation</w:t>
      </w:r>
      <w:r>
        <w:rPr>
          <w:rStyle w:val="Hyperlink.1"/>
          <w:rtl w:val="1"/>
        </w:rPr>
        <w:t>’</w:t>
      </w:r>
      <w:r>
        <w:rPr>
          <w:rStyle w:val="Hyperlink.1"/>
          <w:rtl w:val="0"/>
        </w:rPr>
        <w:t>s own infrastructure, providing greater control over data, security and costs compared to public AI platforms. Private AI may involve fine-tuned models or retrieval-augmented generation with proprietary data.</w:t>
      </w:r>
    </w:p>
    <w:p>
      <w:pPr>
        <w:pStyle w:val="Body"/>
        <w:bidi w:val="0"/>
        <w:rPr>
          <w:rStyle w:val="Hyperlink.1"/>
        </w:rPr>
      </w:pPr>
      <w:r>
        <w:rPr>
          <w:rStyle w:val="None"/>
          <w:rFonts w:ascii="Lexend Regular Medium" w:hAnsi="Lexend Regular Medium"/>
          <w:shd w:val="clear" w:color="auto" w:fill="ffffff"/>
          <w:rtl w:val="0"/>
        </w:rPr>
        <w:t>Public AI Platform</w:t>
      </w:r>
      <w:r>
        <w:rPr>
          <w:rStyle w:val="Hyperlink.1"/>
          <w:rtl w:val="0"/>
        </w:rPr>
        <w:t>: Commercial AI services accessed via APIs or web interfaces, such as ChatGPT or Claude. These platforms offer convenience but may present data security, cost control and customisation challenges.</w:t>
      </w:r>
    </w:p>
    <w:p>
      <w:pPr>
        <w:pStyle w:val="Body"/>
        <w:bidi w:val="0"/>
        <w:rPr>
          <w:rStyle w:val="Hyperlink.1"/>
        </w:rPr>
      </w:pPr>
      <w:r>
        <w:rPr>
          <w:rStyle w:val="None"/>
          <w:rFonts w:ascii="Lexend Regular Medium" w:hAnsi="Lexend Regular Medium"/>
          <w:shd w:val="clear" w:color="auto" w:fill="ffffff"/>
          <w:rtl w:val="0"/>
          <w:lang w:val="en-US"/>
        </w:rPr>
        <w:t>Retrieval-Augmented Generation (RAG)</w:t>
      </w:r>
      <w:r>
        <w:rPr>
          <w:rStyle w:val="Hyperlink.1"/>
          <w:rtl w:val="0"/>
        </w:rPr>
        <w:t>: A technique that enhances AI outputs by retrieving relevant information from a knowledge base before generating a response. RAG improves accuracy and allows AI to access organisation-specific information.</w:t>
      </w:r>
    </w:p>
    <w:p>
      <w:pPr>
        <w:pStyle w:val="Body"/>
        <w:bidi w:val="0"/>
        <w:rPr>
          <w:rStyle w:val="Hyperlink.1"/>
        </w:rPr>
      </w:pPr>
      <w:r>
        <w:rPr>
          <w:rStyle w:val="None"/>
          <w:rFonts w:ascii="Lexend Regular Medium" w:hAnsi="Lexend Regular Medium"/>
          <w:shd w:val="clear" w:color="auto" w:fill="ffffff"/>
          <w:rtl w:val="0"/>
          <w:lang w:val="en-US"/>
        </w:rPr>
        <w:t>Supervised Learning</w:t>
      </w:r>
      <w:r>
        <w:rPr>
          <w:rStyle w:val="Hyperlink.1"/>
          <w:rtl w:val="0"/>
        </w:rPr>
        <w:t>: A machine learning approach where the model is trained on labelled examples, learning to map inputs to correct outputs. Supervised learning is common in classification and prediction tasks.</w:t>
      </w:r>
    </w:p>
    <w:p>
      <w:pPr>
        <w:pStyle w:val="Body"/>
        <w:bidi w:val="0"/>
        <w:rPr>
          <w:rStyle w:val="Hyperlink.1"/>
        </w:rPr>
      </w:pPr>
      <w:r>
        <w:rPr>
          <w:rStyle w:val="None"/>
          <w:rFonts w:ascii="Lexend Regular Medium" w:hAnsi="Lexend Regular Medium"/>
          <w:shd w:val="clear" w:color="auto" w:fill="ffffff"/>
          <w:rtl w:val="0"/>
          <w:lang w:val="nl-NL"/>
        </w:rPr>
        <w:t>Training Data</w:t>
      </w:r>
      <w:r>
        <w:rPr>
          <w:rStyle w:val="Hyperlink.1"/>
          <w:rtl w:val="0"/>
        </w:rPr>
        <w:t>: The dataset used to teach an AI model patterns and relationships. The quality, diversity and representativeness of training data significantly impact model performance and fairness.</w:t>
      </w:r>
    </w:p>
    <w:p>
      <w:pPr>
        <w:pStyle w:val="Body"/>
        <w:bidi w:val="0"/>
        <w:rPr>
          <w:rStyle w:val="Hyperlink.1"/>
        </w:rPr>
      </w:pPr>
      <w:r>
        <w:rPr>
          <w:rStyle w:val="None"/>
          <w:rFonts w:ascii="Lexend Regular Medium" w:hAnsi="Lexend Regular Medium"/>
          <w:shd w:val="clear" w:color="auto" w:fill="ffffff"/>
          <w:rtl w:val="0"/>
          <w:lang w:val="en-US"/>
        </w:rPr>
        <w:t>Unsupervised Learning</w:t>
      </w:r>
      <w:r>
        <w:rPr>
          <w:rStyle w:val="Hyperlink.1"/>
          <w:rtl w:val="0"/>
        </w:rPr>
        <w:t>: A machine learning approach where the model identifies patterns in unlabelled data without specific guidance. Unsupervised learning is useful for clustering, anomaly detection and dimensionality reduction.</w:t>
      </w:r>
    </w:p>
    <w:p>
      <w:pPr>
        <w:pStyle w:val="Body"/>
        <w:bidi w:val="0"/>
      </w:pPr>
      <w:r>
        <w:rPr>
          <w:rStyle w:val="None"/>
          <w:rFonts w:ascii="Lexend Regular Medium" w:hAnsi="Lexend Regular Medium"/>
          <w:shd w:val="clear" w:color="auto" w:fill="ffffff"/>
          <w:rtl w:val="0"/>
          <w:lang w:val="nl-NL"/>
        </w:rPr>
        <w:t>Vector Database</w:t>
      </w:r>
      <w:r>
        <w:rPr>
          <w:rStyle w:val="Hyperlink.1"/>
          <w:rtl w:val="0"/>
        </w:rPr>
        <w:t>: A specialised database that stores data as mathematical vectors, enabling semantic search and similarity matching. Vector databases are often used in retrieval-augmented generation systems to find relevant information.</w:t>
      </w:r>
    </w:p>
    <w:sectPr>
      <w:headerReference w:type="default" r:id="rId4"/>
      <w:footerReference w:type="default" r:id="rId5"/>
      <w:pgSz w:w="11906" w:h="16838" w:orient="portrait"/>
      <w:pgMar w:top="2160" w:right="1080" w:bottom="108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Lexend Regular Medium">
    <w:charset w:val="00"/>
    <w:family w:val="roman"/>
    <w:pitch w:val="default"/>
  </w:font>
  <w:font w:name="Lexend Regular Light">
    <w:charset w:val="00"/>
    <w:family w:val="roman"/>
    <w:pitch w:val="default"/>
  </w:font>
  <w:font w:name="Helvetica Neue">
    <w:charset w:val="00"/>
    <w:family w:val="roman"/>
    <w:pitch w:val="default"/>
  </w:font>
  <w:font w:name="Times Roman">
    <w:charset w:val="00"/>
    <w:family w:val="roman"/>
    <w:pitch w:val="default"/>
  </w:font>
  <w:font w:name="Helvetica">
    <w:charset w:val="00"/>
    <w:family w:val="roman"/>
    <w:pitch w:val="default"/>
  </w:font>
  <w:font w:name="Lexend Regular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93"/>
        <w:tab w:val="right" w:pos="9386"/>
        <w:tab w:val="clear" w:pos="9020"/>
      </w:tabs>
      <w:jc w:val="left"/>
    </w:pPr>
    <w:r>
      <w:rPr>
        <w:sz w:val="20"/>
        <w:szCs w:val="20"/>
        <w:rtl w:val="0"/>
        <w:lang w:val="en-US"/>
      </w:rPr>
      <w:t>v0.1</w:t>
    </w:r>
    <w:r>
      <w:rPr>
        <w:sz w:val="20"/>
        <w:szCs w:val="20"/>
      </w:rPr>
      <w:tab/>
    </w:r>
    <w:r>
      <w:rPr>
        <w:sz w:val="20"/>
        <w:szCs w:val="20"/>
        <w:rtl w:val="0"/>
        <w:lang w:val="en-US"/>
      </w:rPr>
      <w:t xml:space="preserve">Copyright </w:t>
    </w:r>
    <w:r>
      <w:rPr>
        <w:sz w:val="20"/>
        <w:szCs w:val="20"/>
        <w:rtl w:val="0"/>
        <w:lang w:val="de-DE"/>
      </w:rPr>
      <w:t>©</w:t>
    </w:r>
    <w:r>
      <w:rPr>
        <w:rFonts w:ascii="Arial Unicode MS" w:cs="Arial Unicode MS" w:hAnsi="Arial Unicode MS" w:eastAsia="Arial Unicode MS"/>
        <w:b w:val="0"/>
        <w:bCs w:val="0"/>
        <w:i w:val="0"/>
        <w:iCs w:val="0"/>
        <w:sz w:val="20"/>
        <w:szCs w:val="20"/>
        <w:rtl w:val="0"/>
      </w:rPr>
      <w:t>️</w:t>
    </w:r>
    <w:r>
      <w:rPr>
        <w:sz w:val="20"/>
        <w:szCs w:val="20"/>
        <w:rtl w:val="0"/>
        <w:lang w:val="en-US"/>
      </w:rPr>
      <w:t xml:space="preserve"> 2025 Lanboss Ltd</w:t>
    </w:r>
    <w:r>
      <w:rPr>
        <w:sz w:val="20"/>
        <w:szCs w:val="20"/>
      </w:rPr>
      <w:tab/>
    </w:r>
    <w:r>
      <w:rPr>
        <w:rFonts w:ascii="Lexend Regular Light" w:cs="Arial Unicode MS" w:hAnsi="Lexend Regular Light" w:eastAsia="Arial Unicode MS"/>
        <w:b w:val="0"/>
        <w:bCs w:val="0"/>
        <w:i w:val="0"/>
        <w:iCs w:val="0"/>
        <w:sz w:val="20"/>
        <w:szCs w:val="20"/>
        <w:rtl w:val="0"/>
        <w:lang w:val="en-US"/>
      </w:rPr>
      <w:t xml:space="preserve">Page </w:t>
    </w:r>
    <w:r>
      <w:rPr>
        <w:rFonts w:ascii="Lexend Regular Light" w:cs="Lexend Regular Light" w:hAnsi="Lexend Regular Light" w:eastAsia="Lexend Regular Light"/>
        <w:b w:val="0"/>
        <w:bCs w:val="0"/>
        <w:i w:val="0"/>
        <w:iCs w:val="0"/>
        <w:sz w:val="20"/>
        <w:szCs w:val="20"/>
      </w:rPr>
      <w:fldChar w:fldCharType="begin" w:fldLock="0"/>
    </w:r>
    <w:r>
      <w:rPr>
        <w:rFonts w:ascii="Lexend Regular Light" w:cs="Lexend Regular Light" w:hAnsi="Lexend Regular Light" w:eastAsia="Lexend Regular Light"/>
        <w:b w:val="0"/>
        <w:bCs w:val="0"/>
        <w:i w:val="0"/>
        <w:iCs w:val="0"/>
        <w:sz w:val="20"/>
        <w:szCs w:val="20"/>
      </w:rPr>
      <w:instrText xml:space="preserve"> PAGE </w:instrText>
    </w:r>
    <w:r>
      <w:rPr>
        <w:rFonts w:ascii="Lexend Regular Light" w:cs="Lexend Regular Light" w:hAnsi="Lexend Regular Light" w:eastAsia="Lexend Regular Light"/>
        <w:b w:val="0"/>
        <w:bCs w:val="0"/>
        <w:i w:val="0"/>
        <w:iCs w:val="0"/>
        <w:sz w:val="20"/>
        <w:szCs w:val="20"/>
      </w:rPr>
      <w:fldChar w:fldCharType="separate" w:fldLock="0"/>
    </w:r>
    <w:r>
      <w:rPr>
        <w:rFonts w:ascii="Lexend Regular Light" w:cs="Lexend Regular Light" w:hAnsi="Lexend Regular Light" w:eastAsia="Lexend Regular Light"/>
        <w:b w:val="0"/>
        <w:bCs w:val="0"/>
        <w:i w:val="0"/>
        <w:iCs w:val="0"/>
        <w:sz w:val="20"/>
        <w:szCs w:val="20"/>
      </w:rPr>
    </w:r>
    <w:r>
      <w:rPr>
        <w:rFonts w:ascii="Lexend Regular Light" w:cs="Lexend Regular Light" w:hAnsi="Lexend Regular Light" w:eastAsia="Lexend Regular Light"/>
        <w:b w:val="0"/>
        <w:bCs w:val="0"/>
        <w:i w:val="0"/>
        <w:iCs w:val="0"/>
        <w:sz w:val="20"/>
        <w:szCs w:val="20"/>
      </w:rPr>
      <w:fldChar w:fldCharType="end" w:fldLock="0"/>
    </w:r>
    <w:r>
      <w:rPr>
        <w:rFonts w:ascii="Lexend Regular Light" w:cs="Arial Unicode MS" w:hAnsi="Lexend Regular Light" w:eastAsia="Arial Unicode MS"/>
        <w:b w:val="0"/>
        <w:bCs w:val="0"/>
        <w:i w:val="0"/>
        <w:iCs w:val="0"/>
        <w:sz w:val="20"/>
        <w:szCs w:val="20"/>
        <w:rtl w:val="0"/>
        <w:lang w:val="en-US"/>
      </w:rPr>
      <w:t xml:space="preserve"> of </w:t>
    </w:r>
    <w:r>
      <w:rPr>
        <w:rFonts w:ascii="Lexend Regular Light" w:cs="Lexend Regular Light" w:hAnsi="Lexend Regular Light" w:eastAsia="Lexend Regular Light"/>
        <w:b w:val="0"/>
        <w:bCs w:val="0"/>
        <w:i w:val="0"/>
        <w:iCs w:val="0"/>
        <w:sz w:val="20"/>
        <w:szCs w:val="20"/>
      </w:rPr>
      <w:fldChar w:fldCharType="begin" w:fldLock="0"/>
    </w:r>
    <w:r>
      <w:rPr>
        <w:rFonts w:ascii="Lexend Regular Light" w:cs="Lexend Regular Light" w:hAnsi="Lexend Regular Light" w:eastAsia="Lexend Regular Light"/>
        <w:b w:val="0"/>
        <w:bCs w:val="0"/>
        <w:i w:val="0"/>
        <w:iCs w:val="0"/>
        <w:sz w:val="20"/>
        <w:szCs w:val="20"/>
      </w:rPr>
      <w:instrText xml:space="preserve"> NUMPAGES </w:instrText>
    </w:r>
    <w:r>
      <w:rPr>
        <w:rFonts w:ascii="Lexend Regular Light" w:cs="Lexend Regular Light" w:hAnsi="Lexend Regular Light" w:eastAsia="Lexend Regular Light"/>
        <w:b w:val="0"/>
        <w:bCs w:val="0"/>
        <w:i w:val="0"/>
        <w:iCs w:val="0"/>
        <w:sz w:val="20"/>
        <w:szCs w:val="20"/>
      </w:rPr>
      <w:fldChar w:fldCharType="separate" w:fldLock="0"/>
    </w:r>
    <w:r>
      <w:rPr>
        <w:rFonts w:ascii="Lexend Regular Light" w:cs="Lexend Regular Light" w:hAnsi="Lexend Regular Light" w:eastAsia="Lexend Regular Light"/>
        <w:b w:val="0"/>
        <w:bCs w:val="0"/>
        <w:i w:val="0"/>
        <w:iCs w:val="0"/>
        <w:sz w:val="20"/>
        <w:szCs w:val="20"/>
      </w:rPr>
    </w:r>
    <w:r>
      <w:rPr>
        <w:rFonts w:ascii="Lexend Regular Light" w:cs="Lexend Regular Light" w:hAnsi="Lexend Regular Light" w:eastAsia="Lexend Regular Light"/>
        <w:b w:val="0"/>
        <w:bCs w:val="0"/>
        <w:i w:val="0"/>
        <w:iCs w:val="0"/>
        <w:sz w:val="20"/>
        <w:szCs w:val="2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93"/>
        <w:tab w:val="right" w:pos="9386"/>
        <w:tab w:val="clear" w:pos="9020"/>
      </w:tabs>
      <w:jc w:val="left"/>
      <w:rPr>
        <w:sz w:val="34"/>
        <w:szCs w:val="34"/>
      </w:rPr>
    </w:pPr>
    <w:r>
      <w:rPr>
        <w:sz w:val="34"/>
        <w:szCs w:val="34"/>
        <w:shd w:val="clear" w:color="auto" w:fill="ffffff"/>
        <w:rtl w:val="0"/>
        <w:lang w:val="pt-PT"/>
      </w:rPr>
      <w:t>[</w:t>
    </w:r>
    <w:r>
      <w:rPr>
        <w:sz w:val="34"/>
        <w:szCs w:val="34"/>
        <w:shd w:val="clear" w:color="auto" w:fill="ffffff"/>
        <w:rtl w:val="0"/>
        <w:lang w:val="en-US"/>
      </w:rPr>
      <w:t>ORG</w:t>
    </w:r>
    <w:r>
      <w:rPr>
        <w:sz w:val="34"/>
        <w:szCs w:val="34"/>
        <w:shd w:val="clear" w:color="auto" w:fill="ffffff"/>
        <w:rtl w:val="0"/>
        <w:lang w:val="en-US"/>
      </w:rPr>
      <w:t xml:space="preserve"> NAME] </w:t>
    </w:r>
    <w:r>
      <w:rPr>
        <w:sz w:val="34"/>
        <w:szCs w:val="34"/>
      </w:rPr>
      <w:tab/>
    </w:r>
    <w:r>
      <w:rPr>
        <w:outline w:val="0"/>
        <w:color w:val="ff2600"/>
        <w:sz w:val="40"/>
        <w:szCs w:val="40"/>
        <w:rtl w:val="0"/>
        <w:lang w:val="en-US"/>
        <w14:textFill>
          <w14:solidFill>
            <w14:srgbClr w14:val="FF2600"/>
          </w14:solidFill>
        </w14:textFill>
      </w:rPr>
      <w:t>DRAFT</w:t>
    </w:r>
    <w:r>
      <w:rPr>
        <w:sz w:val="34"/>
        <w:szCs w:val="34"/>
      </w:rPr>
      <w:tab/>
    </w:r>
    <w:r>
      <w:rPr>
        <w:sz w:val="26"/>
        <w:szCs w:val="26"/>
      </w:rPr>
      <w:drawing xmlns:a="http://schemas.openxmlformats.org/drawingml/2006/main">
        <wp:inline distT="0" distB="0" distL="0" distR="0">
          <wp:extent cx="490387" cy="490387"/>
          <wp:effectExtent l="0" t="0" r="0" b="0"/>
          <wp:docPr id="1073741825" name="officeArt object" descr="01_Lanboss_Primary_Logo_v1.png"/>
          <wp:cNvGraphicFramePr/>
          <a:graphic xmlns:a="http://schemas.openxmlformats.org/drawingml/2006/main">
            <a:graphicData uri="http://schemas.openxmlformats.org/drawingml/2006/picture">
              <pic:pic xmlns:pic="http://schemas.openxmlformats.org/drawingml/2006/picture">
                <pic:nvPicPr>
                  <pic:cNvPr id="1073741825" name="01_Lanboss_Primary_Logo_v1.png" descr="01_Lanboss_Primary_Logo_v1.png"/>
                  <pic:cNvPicPr>
                    <a:picLocks noChangeAspect="1"/>
                  </pic:cNvPicPr>
                </pic:nvPicPr>
                <pic:blipFill>
                  <a:blip r:embed="rId1">
                    <a:extLst/>
                  </a:blip>
                  <a:stretch>
                    <a:fillRect/>
                  </a:stretch>
                </pic:blipFill>
                <pic:spPr>
                  <a:xfrm>
                    <a:off x="0" y="0"/>
                    <a:ext cx="490387" cy="490387"/>
                  </a:xfrm>
                  <a:prstGeom prst="rect">
                    <a:avLst/>
                  </a:prstGeom>
                  <a:ln w="12700" cap="flat">
                    <a:noFill/>
                    <a:miter lim="400000"/>
                  </a:ln>
                  <a:effectLst/>
                </pic:spPr>
              </pic:pic>
            </a:graphicData>
          </a:graphic>
        </wp:inline>
      </w:drawing>
    </w:r>
  </w:p>
  <w:p>
    <w:pPr>
      <w:pStyle w:val="Header &amp; Footer"/>
      <w:tabs>
        <w:tab w:val="center" w:pos="4693"/>
        <w:tab w:val="right" w:pos="9386"/>
        <w:tab w:val="clear" w:pos="9020"/>
      </w:tabs>
      <w:jc w:val="left"/>
    </w:pPr>
    <w:r>
      <w:rPr>
        <w:sz w:val="34"/>
        <w:szCs w:val="34"/>
        <w:rtl w:val="0"/>
      </w:rPr>
      <w:t>AI Policy</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564" w:hanging="344"/>
      </w:pPr>
      <w:rPr>
        <w:rFonts w:ascii="Helvetica Neue" w:cs="Helvetica Neue" w:hAnsi="Helvetica Neue" w:eastAsia="Helvetica Neue"/>
        <w:b w:val="1"/>
        <w:bCs w:val="1"/>
        <w:i w:val="0"/>
        <w:iCs w:val="0"/>
        <w:caps w:val="0"/>
        <w:smallCaps w:val="0"/>
        <w:strike w:val="0"/>
        <w:dstrike w:val="0"/>
        <w:outline w:val="0"/>
        <w:emboss w:val="0"/>
        <w:imprint w:val="0"/>
        <w:color w:val="24282d"/>
        <w:spacing w:val="0"/>
        <w:w w:val="100"/>
        <w:kern w:val="0"/>
        <w:position w:val="0"/>
        <w:highlight w:val="none"/>
        <w:vertAlign w:val="baseline"/>
      </w:rPr>
    </w:lvl>
    <w:lvl w:ilvl="1">
      <w:start w:val="1"/>
      <w:numFmt w:val="decimal"/>
      <w:suff w:val="tab"/>
      <w:lvlText w:val="%2."/>
      <w:lvlJc w:val="left"/>
      <w:pPr>
        <w:ind w:left="784" w:hanging="344"/>
      </w:pPr>
      <w:rPr>
        <w:rFonts w:ascii="Helvetica Neue" w:cs="Helvetica Neue" w:hAnsi="Helvetica Neue" w:eastAsia="Helvetica Neue"/>
        <w:b w:val="1"/>
        <w:bCs w:val="1"/>
        <w:i w:val="0"/>
        <w:iCs w:val="0"/>
        <w:caps w:val="0"/>
        <w:smallCaps w:val="0"/>
        <w:strike w:val="0"/>
        <w:dstrike w:val="0"/>
        <w:outline w:val="0"/>
        <w:emboss w:val="0"/>
        <w:imprint w:val="0"/>
        <w:color w:val="24282d"/>
        <w:spacing w:val="0"/>
        <w:w w:val="100"/>
        <w:kern w:val="0"/>
        <w:position w:val="0"/>
        <w:highlight w:val="none"/>
        <w:vertAlign w:val="baseline"/>
      </w:rPr>
    </w:lvl>
    <w:lvl w:ilvl="2">
      <w:start w:val="1"/>
      <w:numFmt w:val="decimal"/>
      <w:suff w:val="tab"/>
      <w:lvlText w:val="%3."/>
      <w:lvlJc w:val="left"/>
      <w:pPr>
        <w:ind w:left="1004" w:hanging="344"/>
      </w:pPr>
      <w:rPr>
        <w:rFonts w:ascii="Helvetica Neue" w:cs="Helvetica Neue" w:hAnsi="Helvetica Neue" w:eastAsia="Helvetica Neue"/>
        <w:b w:val="1"/>
        <w:bCs w:val="1"/>
        <w:i w:val="0"/>
        <w:iCs w:val="0"/>
        <w:caps w:val="0"/>
        <w:smallCaps w:val="0"/>
        <w:strike w:val="0"/>
        <w:dstrike w:val="0"/>
        <w:outline w:val="0"/>
        <w:emboss w:val="0"/>
        <w:imprint w:val="0"/>
        <w:color w:val="24282d"/>
        <w:spacing w:val="0"/>
        <w:w w:val="100"/>
        <w:kern w:val="0"/>
        <w:position w:val="0"/>
        <w:highlight w:val="none"/>
        <w:vertAlign w:val="baseline"/>
      </w:rPr>
    </w:lvl>
    <w:lvl w:ilvl="3">
      <w:start w:val="1"/>
      <w:numFmt w:val="decimal"/>
      <w:suff w:val="tab"/>
      <w:lvlText w:val="%4."/>
      <w:lvlJc w:val="left"/>
      <w:pPr>
        <w:ind w:left="1224" w:hanging="344"/>
      </w:pPr>
      <w:rPr>
        <w:rFonts w:ascii="Helvetica Neue" w:cs="Helvetica Neue" w:hAnsi="Helvetica Neue" w:eastAsia="Helvetica Neue"/>
        <w:b w:val="1"/>
        <w:bCs w:val="1"/>
        <w:i w:val="0"/>
        <w:iCs w:val="0"/>
        <w:caps w:val="0"/>
        <w:smallCaps w:val="0"/>
        <w:strike w:val="0"/>
        <w:dstrike w:val="0"/>
        <w:outline w:val="0"/>
        <w:emboss w:val="0"/>
        <w:imprint w:val="0"/>
        <w:color w:val="24282d"/>
        <w:spacing w:val="0"/>
        <w:w w:val="100"/>
        <w:kern w:val="0"/>
        <w:position w:val="0"/>
        <w:highlight w:val="none"/>
        <w:vertAlign w:val="baseline"/>
      </w:rPr>
    </w:lvl>
    <w:lvl w:ilvl="4">
      <w:start w:val="1"/>
      <w:numFmt w:val="decimal"/>
      <w:suff w:val="tab"/>
      <w:lvlText w:val="%5."/>
      <w:lvlJc w:val="left"/>
      <w:pPr>
        <w:ind w:left="1444" w:hanging="344"/>
      </w:pPr>
      <w:rPr>
        <w:rFonts w:ascii="Helvetica Neue" w:cs="Helvetica Neue" w:hAnsi="Helvetica Neue" w:eastAsia="Helvetica Neue"/>
        <w:b w:val="1"/>
        <w:bCs w:val="1"/>
        <w:i w:val="0"/>
        <w:iCs w:val="0"/>
        <w:caps w:val="0"/>
        <w:smallCaps w:val="0"/>
        <w:strike w:val="0"/>
        <w:dstrike w:val="0"/>
        <w:outline w:val="0"/>
        <w:emboss w:val="0"/>
        <w:imprint w:val="0"/>
        <w:color w:val="24282d"/>
        <w:spacing w:val="0"/>
        <w:w w:val="100"/>
        <w:kern w:val="0"/>
        <w:position w:val="0"/>
        <w:highlight w:val="none"/>
        <w:vertAlign w:val="baseline"/>
      </w:rPr>
    </w:lvl>
    <w:lvl w:ilvl="5">
      <w:start w:val="1"/>
      <w:numFmt w:val="decimal"/>
      <w:suff w:val="tab"/>
      <w:lvlText w:val="%6."/>
      <w:lvlJc w:val="left"/>
      <w:pPr>
        <w:ind w:left="1664" w:hanging="344"/>
      </w:pPr>
      <w:rPr>
        <w:rFonts w:ascii="Helvetica Neue" w:cs="Helvetica Neue" w:hAnsi="Helvetica Neue" w:eastAsia="Helvetica Neue"/>
        <w:b w:val="1"/>
        <w:bCs w:val="1"/>
        <w:i w:val="0"/>
        <w:iCs w:val="0"/>
        <w:caps w:val="0"/>
        <w:smallCaps w:val="0"/>
        <w:strike w:val="0"/>
        <w:dstrike w:val="0"/>
        <w:outline w:val="0"/>
        <w:emboss w:val="0"/>
        <w:imprint w:val="0"/>
        <w:color w:val="24282d"/>
        <w:spacing w:val="0"/>
        <w:w w:val="100"/>
        <w:kern w:val="0"/>
        <w:position w:val="0"/>
        <w:highlight w:val="none"/>
        <w:vertAlign w:val="baseline"/>
      </w:rPr>
    </w:lvl>
    <w:lvl w:ilvl="6">
      <w:start w:val="1"/>
      <w:numFmt w:val="decimal"/>
      <w:suff w:val="tab"/>
      <w:lvlText w:val="%7."/>
      <w:lvlJc w:val="left"/>
      <w:pPr>
        <w:ind w:left="1884" w:hanging="344"/>
      </w:pPr>
      <w:rPr>
        <w:rFonts w:ascii="Helvetica Neue" w:cs="Helvetica Neue" w:hAnsi="Helvetica Neue" w:eastAsia="Helvetica Neue"/>
        <w:b w:val="1"/>
        <w:bCs w:val="1"/>
        <w:i w:val="0"/>
        <w:iCs w:val="0"/>
        <w:caps w:val="0"/>
        <w:smallCaps w:val="0"/>
        <w:strike w:val="0"/>
        <w:dstrike w:val="0"/>
        <w:outline w:val="0"/>
        <w:emboss w:val="0"/>
        <w:imprint w:val="0"/>
        <w:color w:val="24282d"/>
        <w:spacing w:val="0"/>
        <w:w w:val="100"/>
        <w:kern w:val="0"/>
        <w:position w:val="0"/>
        <w:highlight w:val="none"/>
        <w:vertAlign w:val="baseline"/>
      </w:rPr>
    </w:lvl>
    <w:lvl w:ilvl="7">
      <w:start w:val="1"/>
      <w:numFmt w:val="decimal"/>
      <w:suff w:val="tab"/>
      <w:lvlText w:val="%8."/>
      <w:lvlJc w:val="left"/>
      <w:pPr>
        <w:ind w:left="2104" w:hanging="344"/>
      </w:pPr>
      <w:rPr>
        <w:rFonts w:ascii="Helvetica Neue" w:cs="Helvetica Neue" w:hAnsi="Helvetica Neue" w:eastAsia="Helvetica Neue"/>
        <w:b w:val="1"/>
        <w:bCs w:val="1"/>
        <w:i w:val="0"/>
        <w:iCs w:val="0"/>
        <w:caps w:val="0"/>
        <w:smallCaps w:val="0"/>
        <w:strike w:val="0"/>
        <w:dstrike w:val="0"/>
        <w:outline w:val="0"/>
        <w:emboss w:val="0"/>
        <w:imprint w:val="0"/>
        <w:color w:val="24282d"/>
        <w:spacing w:val="0"/>
        <w:w w:val="100"/>
        <w:kern w:val="0"/>
        <w:position w:val="0"/>
        <w:highlight w:val="none"/>
        <w:vertAlign w:val="baseline"/>
      </w:rPr>
    </w:lvl>
    <w:lvl w:ilvl="8">
      <w:start w:val="1"/>
      <w:numFmt w:val="decimal"/>
      <w:suff w:val="tab"/>
      <w:lvlText w:val="%9."/>
      <w:lvlJc w:val="left"/>
      <w:pPr>
        <w:ind w:left="2324" w:hanging="344"/>
      </w:pPr>
      <w:rPr>
        <w:rFonts w:ascii="Helvetica Neue" w:cs="Helvetica Neue" w:hAnsi="Helvetica Neue" w:eastAsia="Helvetica Neue"/>
        <w:b w:val="1"/>
        <w:bCs w:val="1"/>
        <w:i w:val="0"/>
        <w:iCs w:val="0"/>
        <w:caps w:val="0"/>
        <w:smallCaps w:val="0"/>
        <w:strike w:val="0"/>
        <w:dstrike w:val="0"/>
        <w:outline w:val="0"/>
        <w:emboss w:val="0"/>
        <w:imprint w:val="0"/>
        <w:color w:val="24282d"/>
        <w:spacing w:val="0"/>
        <w:w w:val="100"/>
        <w:kern w:val="0"/>
        <w:position w:val="0"/>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Dash"/>
  </w:abstractNum>
  <w:abstractNum w:abstractNumId="5">
    <w:multiLevelType w:val="hybridMultilevel"/>
    <w:styleLink w:val="Dash"/>
    <w:lvl w:ilvl="0">
      <w:start w:val="1"/>
      <w:numFmt w:val="bullet"/>
      <w:suff w:val="tab"/>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start w:val="1"/>
      <w:numFmt w:val="bullet"/>
      <w:suff w:val="tab"/>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start w:val="1"/>
      <w:numFmt w:val="bullet"/>
      <w:suff w:val="tab"/>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start w:val="1"/>
      <w:numFmt w:val="bullet"/>
      <w:suff w:val="tab"/>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start w:val="1"/>
      <w:numFmt w:val="bullet"/>
      <w:suff w:val="tab"/>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start w:val="1"/>
      <w:numFmt w:val="bullet"/>
      <w:suff w:val="tab"/>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start w:val="1"/>
      <w:numFmt w:val="bullet"/>
      <w:suff w:val="tab"/>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start w:val="1"/>
      <w:numFmt w:val="bullet"/>
      <w:suff w:val="tab"/>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Lexend Regular Medium" w:cs="Arial Unicode MS" w:hAnsi="Lexend Regular Medium"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lang w:val="pt-PT"/>
      <w14:textOutline>
        <w14:noFill/>
      </w14:textOutline>
      <w14:textFill>
        <w14:solidFill>
          <w14:srgbClr w14:val="000000"/>
        </w14:solidFill>
      </w14:textFill>
    </w:r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center"/>
      <w:outlineLvl w:val="9"/>
    </w:pPr>
    <w:rPr>
      <w:rFonts w:ascii="Lexend Regular Medium" w:cs="Arial Unicode MS" w:hAnsi="Lexend Regular Medium" w:eastAsia="Arial Unicode MS"/>
      <w:b w:val="0"/>
      <w:bCs w:val="0"/>
      <w:i w:val="0"/>
      <w:iCs w:val="0"/>
      <w:caps w:val="0"/>
      <w:smallCaps w:val="0"/>
      <w:strike w:val="0"/>
      <w:dstrike w:val="0"/>
      <w:outline w:val="0"/>
      <w:color w:val="000000"/>
      <w:spacing w:val="0"/>
      <w:kern w:val="0"/>
      <w:position w:val="0"/>
      <w:sz w:val="52"/>
      <w:szCs w:val="52"/>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40" w:after="40" w:line="264" w:lineRule="auto"/>
      <w:ind w:left="0" w:right="0" w:firstLine="0"/>
      <w:jc w:val="left"/>
      <w:outlineLvl w:val="9"/>
    </w:pPr>
    <w:rPr>
      <w:rFonts w:ascii="Lexend Regular Light" w:cs="Arial Unicode MS" w:hAnsi="Lexend Regular Light"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360" w:after="160" w:line="240" w:lineRule="auto"/>
      <w:ind w:left="0" w:right="0" w:firstLine="0"/>
      <w:jc w:val="left"/>
      <w:outlineLvl w:val="0"/>
    </w:pPr>
    <w:rPr>
      <w:rFonts w:ascii="Lexend Regular Medium" w:cs="Arial Unicode MS" w:hAnsi="Lexend Regular Medium" w:eastAsia="Arial Unicode MS"/>
      <w:b w:val="0"/>
      <w:bCs w:val="0"/>
      <w:i w:val="0"/>
      <w:iCs w:val="0"/>
      <w:caps w:val="0"/>
      <w:smallCaps w:val="0"/>
      <w:strike w:val="0"/>
      <w:dstrike w:val="0"/>
      <w:outline w:val="0"/>
      <w:color w:val="000000"/>
      <w:spacing w:val="0"/>
      <w:kern w:val="0"/>
      <w:position w:val="0"/>
      <w:sz w:val="36"/>
      <w:szCs w:val="36"/>
      <w:u w:val="none"/>
      <w:shd w:val="nil" w:color="auto" w:fill="auto"/>
      <w:vertAlign w:val="baseline"/>
      <w:lang w:val="fr-FR"/>
      <w14:textOutline>
        <w14:noFill/>
      </w14:textOutline>
      <w14:textFill>
        <w14:solidFill>
          <w14:srgbClr w14:val="000000"/>
        </w14:solidFill>
      </w14:textFill>
    </w:rPr>
  </w:style>
  <w:style w:type="paragraph" w:styleId="Body Bold">
    <w:name w:val="Body Bold"/>
    <w:next w:val="Body Bold"/>
    <w:pPr>
      <w:keepNext w:val="0"/>
      <w:keepLines w:val="0"/>
      <w:pageBreakBefore w:val="0"/>
      <w:widowControl w:val="1"/>
      <w:shd w:val="clear" w:color="auto" w:fill="auto"/>
      <w:suppressAutoHyphens w:val="0"/>
      <w:bidi w:val="0"/>
      <w:spacing w:before="160" w:after="80" w:line="264" w:lineRule="auto"/>
      <w:ind w:left="0" w:right="0" w:firstLine="0"/>
      <w:jc w:val="left"/>
      <w:outlineLvl w:val="9"/>
    </w:pPr>
    <w:rPr>
      <w:rFonts w:ascii="Lexend Regular Medium" w:cs="Arial Unicode MS" w:hAnsi="Lexend Regular Medium"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u w:val="single"/>
    </w:rPr>
  </w:style>
  <w:style w:type="numbering" w:styleId="Numbered">
    <w:name w:val="Numbered"/>
    <w:pPr>
      <w:numPr>
        <w:numId w:val="1"/>
      </w:numPr>
    </w:pPr>
  </w:style>
  <w:style w:type="paragraph" w:styleId="Heading 2">
    <w:name w:val="Heading 2"/>
    <w:next w:val="Body"/>
    <w:pPr>
      <w:keepNext w:val="1"/>
      <w:keepLines w:val="0"/>
      <w:pageBreakBefore w:val="0"/>
      <w:widowControl w:val="1"/>
      <w:shd w:val="clear" w:color="auto" w:fill="auto"/>
      <w:suppressAutoHyphens w:val="0"/>
      <w:bidi w:val="0"/>
      <w:spacing w:before="280" w:after="120" w:line="240" w:lineRule="auto"/>
      <w:ind w:left="0" w:right="0" w:firstLine="0"/>
      <w:jc w:val="left"/>
      <w:outlineLvl w:val="1"/>
    </w:pPr>
    <w:rPr>
      <w:rFonts w:ascii="Lexend Regular Medium" w:cs="Arial Unicode MS" w:hAnsi="Lexend Regular Medium" w:eastAsia="Arial Unicode MS"/>
      <w:b w:val="0"/>
      <w:bCs w:val="0"/>
      <w:i w:val="0"/>
      <w:iCs w:val="0"/>
      <w:caps w:val="0"/>
      <w:smallCaps w:val="0"/>
      <w:strike w:val="0"/>
      <w:dstrike w:val="0"/>
      <w:outline w:val="0"/>
      <w:color w:val="000000"/>
      <w:spacing w:val="0"/>
      <w:kern w:val="0"/>
      <w:position w:val="0"/>
      <w:sz w:val="32"/>
      <w:szCs w:val="32"/>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3"/>
      </w:numPr>
    </w:pPr>
  </w:style>
  <w:style w:type="paragraph" w:styleId="Heading 3">
    <w:name w:val="Heading 3"/>
    <w:next w:val="Body"/>
    <w:pPr>
      <w:keepNext w:val="1"/>
      <w:keepLines w:val="0"/>
      <w:pageBreakBefore w:val="0"/>
      <w:widowControl w:val="1"/>
      <w:pBdr>
        <w:top w:val="single" w:color="515151" w:sz="4" w:space="3" w:shadow="0" w:frame="0"/>
        <w:left w:val="nil"/>
        <w:bottom w:val="nil"/>
        <w:right w:val="nil"/>
      </w:pBdr>
      <w:shd w:val="clear" w:color="auto" w:fill="auto"/>
      <w:suppressAutoHyphens w:val="0"/>
      <w:bidi w:val="0"/>
      <w:spacing w:before="360" w:after="200" w:line="288" w:lineRule="auto"/>
      <w:ind w:left="0" w:right="0" w:firstLine="0"/>
      <w:jc w:val="left"/>
      <w:outlineLvl w:val="2"/>
    </w:pPr>
    <w:rPr>
      <w:rFonts w:ascii="Helvetica Neue" w:cs="Arial Unicode MS" w:hAnsi="Helvetica Neue" w:eastAsia="Arial Unicode MS"/>
      <w:b w:val="0"/>
      <w:bCs w:val="0"/>
      <w:i w:val="0"/>
      <w:iCs w:val="0"/>
      <w:caps w:val="0"/>
      <w:smallCaps w:val="0"/>
      <w:strike w:val="0"/>
      <w:dstrike w:val="0"/>
      <w:outline w:val="0"/>
      <w:color w:val="000000"/>
      <w:spacing w:val="5"/>
      <w:kern w:val="0"/>
      <w:position w:val="0"/>
      <w:sz w:val="28"/>
      <w:szCs w:val="28"/>
      <w:u w:val="none"/>
      <w:shd w:val="nil" w:color="auto" w:fill="auto"/>
      <w:vertAlign w:val="baseline"/>
      <w:lang w:val="it-IT"/>
      <w14:textOutline>
        <w14:noFill/>
      </w14:textOutline>
      <w14:textFill>
        <w14:solidFill>
          <w14:srgbClr w14:val="000000"/>
        </w14:solidFill>
      </w14:textFill>
    </w:rPr>
  </w:style>
  <w:style w:type="numbering" w:styleId="Dash">
    <w:name w:val="Dash"/>
    <w:pPr>
      <w:numPr>
        <w:numId w:val="5"/>
      </w:numPr>
    </w:pPr>
  </w:style>
  <w:style w:type="character" w:styleId="Hyperlink.1">
    <w:name w:val="Hyperlink.1"/>
    <w:basedOn w:val="None"/>
    <w:next w:val="Hyperlink.1"/>
    <w:rPr>
      <w:shd w:val="clear" w:color="auto" w:fill="ffffff"/>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Lexend Regular Medium"/>
        <a:ea typeface="Lexend Regular Medium"/>
        <a:cs typeface="Lexend Regular Medium"/>
      </a:majorFont>
      <a:minorFont>
        <a:latin typeface="Lexend Regular Medium"/>
        <a:ea typeface="Lexend Regular Medium"/>
        <a:cs typeface="Lexend Regular Medium"/>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10000"/>
          </a:lnSpc>
          <a:spcBef>
            <a:spcPts val="200"/>
          </a:spcBef>
          <a:spcAft>
            <a:spcPts val="0"/>
          </a:spcAft>
          <a:buClrTx/>
          <a:buSzTx/>
          <a:buFontTx/>
          <a:buNone/>
          <a:tabLst/>
          <a:defRPr b="0" baseline="0" cap="none" i="0" spc="0" strike="noStrike" sz="1100" u="none" kumimoji="0" normalizeH="0">
            <a:ln>
              <a:noFill/>
            </a:ln>
            <a:solidFill>
              <a:srgbClr val="000000"/>
            </a:solidFill>
            <a:effectLst/>
            <a:uFillTx/>
            <a:latin typeface="Lexend Regular Light"/>
            <a:ea typeface="Lexend Regular Light"/>
            <a:cs typeface="Lexend Regular Light"/>
            <a:sym typeface="Lexend Regular Light"/>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